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6375A0" w:rsidRPr="006375A0" w:rsidP="006375A0" w14:paraId="7489E615" w14:textId="77777777">
      <w:pPr>
        <w:spacing w:after="0" w:line="240" w:lineRule="auto"/>
        <w:ind w:left="-113" w:right="-52"/>
        <w:jc w:val="right"/>
        <w:rPr>
          <w:rFonts w:ascii="Times New Roman" w:hAnsi="Times New Roman"/>
          <w:sz w:val="24"/>
          <w:szCs w:val="24"/>
          <w:lang w:val="lv-LV"/>
        </w:rPr>
      </w:pPr>
      <w:bookmarkStart w:id="0" w:name="Text10"/>
      <w:r w:rsidRPr="006375A0">
        <w:rPr>
          <w:rFonts w:ascii="Times New Roman" w:hAnsi="Times New Roman"/>
          <w:sz w:val="24"/>
          <w:szCs w:val="24"/>
          <w:lang w:val="lv-LV"/>
        </w:rPr>
        <w:t>APSTIPRINU</w:t>
      </w:r>
    </w:p>
    <w:p w:rsidR="006375A0" w:rsidRPr="006375A0" w:rsidP="006375A0" w14:paraId="694CA717" w14:textId="77777777">
      <w:pPr>
        <w:spacing w:after="0" w:line="240" w:lineRule="auto"/>
        <w:ind w:left="-113" w:right="-51"/>
        <w:jc w:val="right"/>
        <w:rPr>
          <w:rFonts w:ascii="Times New Roman" w:hAnsi="Times New Roman"/>
          <w:sz w:val="24"/>
          <w:szCs w:val="24"/>
          <w:lang w:val="lv-LV"/>
        </w:rPr>
      </w:pPr>
      <w:r w:rsidRPr="006375A0">
        <w:rPr>
          <w:rFonts w:ascii="Times New Roman" w:hAnsi="Times New Roman"/>
          <w:sz w:val="24"/>
          <w:szCs w:val="24"/>
          <w:lang w:val="lv-LV"/>
        </w:rPr>
        <w:t>Valsts kases pārvaldnieks</w:t>
      </w:r>
    </w:p>
    <w:p w:rsidR="006375A0" w:rsidRPr="006375A0" w:rsidP="006375A0" w14:paraId="3CB31A1D" w14:textId="77777777">
      <w:pPr>
        <w:spacing w:after="0" w:line="240" w:lineRule="auto"/>
        <w:ind w:left="-113" w:right="-52"/>
        <w:jc w:val="right"/>
        <w:rPr>
          <w:rFonts w:ascii="Times New Roman" w:hAnsi="Times New Roman"/>
          <w:sz w:val="24"/>
          <w:szCs w:val="24"/>
          <w:lang w:val="lv-LV"/>
        </w:rPr>
      </w:pPr>
      <w:bookmarkStart w:id="1" w:name="Text18"/>
      <w:r>
        <w:rPr>
          <w:rFonts w:ascii="Times New Roman" w:hAnsi="Times New Roman"/>
          <w:sz w:val="24"/>
          <w:szCs w:val="24"/>
          <w:lang w:val="lv-LV"/>
        </w:rPr>
        <w:t xml:space="preserve">(paraksts*) </w:t>
      </w:r>
      <w:bookmarkEnd w:id="1"/>
      <w:r w:rsidR="00253625">
        <w:rPr>
          <w:rFonts w:ascii="Times New Roman" w:hAnsi="Times New Roman"/>
          <w:sz w:val="24"/>
          <w:szCs w:val="24"/>
          <w:lang w:val="lv-LV"/>
        </w:rPr>
        <w:t>K. Āboliņš</w:t>
      </w:r>
    </w:p>
    <w:p w:rsidR="006375A0" w:rsidRPr="006375A0" w:rsidP="006375A0" w14:paraId="3DFD8E92" w14:textId="77777777">
      <w:pPr>
        <w:spacing w:after="0" w:line="240" w:lineRule="auto"/>
        <w:ind w:left="-113" w:right="-52"/>
        <w:jc w:val="right"/>
        <w:rPr>
          <w:rFonts w:ascii="Times New Roman" w:hAnsi="Times New Roman"/>
          <w:sz w:val="24"/>
          <w:szCs w:val="24"/>
          <w:lang w:val="lv-LV"/>
        </w:rPr>
      </w:pPr>
      <w:r w:rsidRPr="006375A0">
        <w:rPr>
          <w:rFonts w:ascii="Times New Roman" w:hAnsi="Times New Roman"/>
          <w:sz w:val="24"/>
          <w:szCs w:val="24"/>
          <w:lang w:val="lv-LV"/>
        </w:rPr>
        <w:t>Rīgā</w:t>
      </w:r>
      <w:r>
        <w:rPr>
          <w:rFonts w:ascii="Times New Roman" w:hAnsi="Times New Roman"/>
          <w:sz w:val="24"/>
          <w:szCs w:val="24"/>
          <w:lang w:val="lv-LV"/>
        </w:rPr>
        <w:t>, Datums skatāms laika zīmogā</w:t>
      </w:r>
    </w:p>
    <w:p w:rsidR="006375A0" w:rsidRPr="006375A0" w:rsidP="006375A0" w14:paraId="43534E2E" w14:textId="77777777">
      <w:pPr>
        <w:pStyle w:val="Header"/>
        <w:tabs>
          <w:tab w:val="left" w:pos="720"/>
        </w:tabs>
        <w:jc w:val="both"/>
        <w:rPr>
          <w:rFonts w:ascii="Times New Roman" w:hAnsi="Times New Roman"/>
          <w:b/>
          <w:bCs/>
          <w:caps/>
          <w:sz w:val="24"/>
          <w:szCs w:val="24"/>
          <w:lang w:val="lv-LV"/>
        </w:rPr>
      </w:pPr>
    </w:p>
    <w:bookmarkEnd w:id="0"/>
    <w:p w:rsidR="00025446" w:rsidRPr="00025446" w:rsidP="00025446" w14:paraId="700363E8" w14:textId="77777777">
      <w:pPr>
        <w:tabs>
          <w:tab w:val="left" w:pos="720"/>
          <w:tab w:val="center" w:pos="4320"/>
          <w:tab w:val="right" w:pos="8640"/>
        </w:tabs>
        <w:spacing w:after="0" w:line="240" w:lineRule="auto"/>
        <w:jc w:val="center"/>
        <w:rPr>
          <w:rFonts w:ascii="Times New Roman" w:hAnsi="Times New Roman"/>
          <w:sz w:val="24"/>
          <w:szCs w:val="24"/>
          <w:lang w:val="lv-LV"/>
        </w:rPr>
      </w:pPr>
      <w:r w:rsidRPr="00025446">
        <w:rPr>
          <w:rFonts w:ascii="Times New Roman" w:hAnsi="Times New Roman"/>
          <w:b/>
          <w:bCs/>
          <w:caps/>
          <w:sz w:val="24"/>
          <w:szCs w:val="24"/>
          <w:lang w:val="lv-LV"/>
        </w:rPr>
        <w:t>METODISKIE NORĀDĪJUMI</w:t>
      </w:r>
    </w:p>
    <w:p w:rsidR="00CC2672" w:rsidP="009E2B60" w14:paraId="6FED4678" w14:textId="77777777">
      <w:pPr>
        <w:pStyle w:val="Header"/>
        <w:tabs>
          <w:tab w:val="left" w:pos="720"/>
        </w:tabs>
        <w:jc w:val="center"/>
        <w:rPr>
          <w:rFonts w:ascii="Times New Roman" w:hAnsi="Times New Roman"/>
          <w:sz w:val="20"/>
          <w:szCs w:val="16"/>
          <w:lang w:val="lv-LV"/>
        </w:rPr>
      </w:pPr>
      <w:r w:rsidRPr="009E2B60">
        <w:rPr>
          <w:rFonts w:ascii="Times New Roman" w:hAnsi="Times New Roman"/>
          <w:sz w:val="20"/>
          <w:szCs w:val="16"/>
          <w:lang w:val="lv-LV"/>
        </w:rPr>
        <w:t>Rīgā</w:t>
      </w:r>
    </w:p>
    <w:tbl>
      <w:tblPr>
        <w:tblW w:w="941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7"/>
        <w:gridCol w:w="1417"/>
        <w:gridCol w:w="2014"/>
        <w:gridCol w:w="2664"/>
      </w:tblGrid>
      <w:tr w14:paraId="793A7F17" w14:textId="77777777" w:rsidTr="008134ED">
        <w:tblPrEx>
          <w:tblW w:w="9412" w:type="dxa"/>
          <w:tblInd w:w="52" w:type="dxa"/>
          <w:tblLayout w:type="fixed"/>
          <w:tblLook w:val="01E0"/>
        </w:tblPrEx>
        <w:trPr>
          <w:trHeight w:hRule="exact" w:val="571"/>
        </w:trPr>
        <w:tc>
          <w:tcPr>
            <w:tcW w:w="3317" w:type="dxa"/>
            <w:tcBorders>
              <w:top w:val="nil"/>
              <w:left w:val="nil"/>
              <w:right w:val="nil"/>
            </w:tcBorders>
            <w:vAlign w:val="bottom"/>
          </w:tcPr>
          <w:p w:rsidR="009E2B60" w:rsidRPr="00596C7D" w:rsidP="009E2B60" w14:paraId="7CB550C4" w14:textId="77777777">
            <w:pPr>
              <w:spacing w:after="0" w:line="240" w:lineRule="auto"/>
              <w:jc w:val="center"/>
              <w:rPr>
                <w:rFonts w:ascii="Times New Roman" w:hAnsi="Times New Roman"/>
                <w:sz w:val="20"/>
                <w:szCs w:val="20"/>
                <w:lang w:val="lv-LV"/>
              </w:rPr>
            </w:pPr>
            <w:r w:rsidRPr="00596C7D">
              <w:rPr>
                <w:rFonts w:ascii="Times New Roman" w:hAnsi="Times New Roman"/>
                <w:sz w:val="20"/>
                <w:szCs w:val="20"/>
                <w:lang w:val="lv-LV"/>
              </w:rPr>
              <w:t>Datums skatāms laika zīmogā</w:t>
            </w:r>
          </w:p>
        </w:tc>
        <w:tc>
          <w:tcPr>
            <w:tcW w:w="1417" w:type="dxa"/>
            <w:tcBorders>
              <w:top w:val="nil"/>
              <w:left w:val="nil"/>
              <w:bottom w:val="nil"/>
              <w:right w:val="nil"/>
            </w:tcBorders>
          </w:tcPr>
          <w:p w:rsidR="009E2B60" w:rsidRPr="00596C7D" w:rsidP="009E2B60" w14:paraId="52E8740D" w14:textId="77777777">
            <w:pPr>
              <w:spacing w:after="0" w:line="240" w:lineRule="auto"/>
              <w:rPr>
                <w:rFonts w:ascii="Times New Roman" w:hAnsi="Times New Roman"/>
                <w:sz w:val="20"/>
                <w:szCs w:val="20"/>
              </w:rPr>
            </w:pPr>
          </w:p>
        </w:tc>
        <w:tc>
          <w:tcPr>
            <w:tcW w:w="2014" w:type="dxa"/>
            <w:tcBorders>
              <w:top w:val="nil"/>
              <w:left w:val="nil"/>
              <w:bottom w:val="nil"/>
              <w:right w:val="nil"/>
            </w:tcBorders>
            <w:vAlign w:val="bottom"/>
          </w:tcPr>
          <w:p w:rsidR="009E2B60" w:rsidRPr="00596C7D" w:rsidP="009E2B60" w14:paraId="3AB8F283" w14:textId="77777777">
            <w:pPr>
              <w:spacing w:after="0" w:line="240" w:lineRule="auto"/>
              <w:ind w:right="-92"/>
              <w:jc w:val="right"/>
              <w:rPr>
                <w:rFonts w:ascii="Times New Roman" w:hAnsi="Times New Roman"/>
                <w:sz w:val="20"/>
                <w:szCs w:val="20"/>
              </w:rPr>
            </w:pPr>
            <w:r w:rsidRPr="00596C7D">
              <w:rPr>
                <w:rFonts w:ascii="Times New Roman" w:hAnsi="Times New Roman"/>
                <w:sz w:val="20"/>
                <w:szCs w:val="20"/>
              </w:rPr>
              <w:t>Nr.</w:t>
            </w:r>
          </w:p>
        </w:tc>
        <w:tc>
          <w:tcPr>
            <w:tcW w:w="2664" w:type="dxa"/>
            <w:tcBorders>
              <w:top w:val="nil"/>
              <w:left w:val="nil"/>
              <w:right w:val="nil"/>
            </w:tcBorders>
            <w:vAlign w:val="bottom"/>
          </w:tcPr>
          <w:p w:rsidR="009E2B60" w:rsidRPr="00596C7D" w:rsidP="00253625" w14:paraId="643C529F" w14:textId="77777777">
            <w:pPr>
              <w:spacing w:after="0" w:line="240" w:lineRule="auto"/>
              <w:ind w:left="-52"/>
              <w:jc w:val="center"/>
              <w:rPr>
                <w:rFonts w:ascii="Times New Roman" w:hAnsi="Times New Roman"/>
                <w:sz w:val="20"/>
                <w:szCs w:val="20"/>
              </w:rPr>
            </w:pPr>
            <w:r>
              <w:rPr>
                <w:rFonts w:ascii="Times New Roman" w:hAnsi="Times New Roman"/>
                <w:noProof/>
                <w:sz w:val="20"/>
                <w:szCs w:val="16"/>
                <w:lang w:val="lv-LV"/>
              </w:rPr>
              <w:t>2026/3</w:t>
            </w:r>
          </w:p>
        </w:tc>
      </w:tr>
    </w:tbl>
    <w:p w:rsidR="009E2B60" w:rsidRPr="009E2B60" w:rsidP="00BE29E4" w14:paraId="542A93AF" w14:textId="77777777">
      <w:pPr>
        <w:pStyle w:val="Header"/>
        <w:tabs>
          <w:tab w:val="left" w:pos="720"/>
        </w:tabs>
        <w:jc w:val="both"/>
        <w:rPr>
          <w:rFonts w:ascii="Times New Roman" w:hAnsi="Times New Roman"/>
          <w:sz w:val="24"/>
          <w:szCs w:val="24"/>
          <w:lang w:val="lv-LV"/>
        </w:rPr>
      </w:pPr>
    </w:p>
    <w:p w:rsidR="00AE5F74" w:rsidRPr="00BE29E4" w:rsidP="00BE29E4" w14:paraId="00708402" w14:textId="77777777">
      <w:pPr>
        <w:spacing w:after="0" w:line="240" w:lineRule="auto"/>
        <w:jc w:val="both"/>
        <w:rPr>
          <w:rFonts w:ascii="Times New Roman" w:hAnsi="Times New Roman"/>
          <w:sz w:val="24"/>
          <w:szCs w:val="24"/>
          <w:lang w:val="lv-LV"/>
        </w:rPr>
      </w:pPr>
      <w:bookmarkStart w:id="2" w:name="Text4"/>
    </w:p>
    <w:bookmarkEnd w:id="2"/>
    <w:p w:rsidR="00733011" w:rsidRPr="009E2B60" w:rsidP="00217B40" w14:paraId="7784F59F" w14:textId="77777777">
      <w:pPr>
        <w:pStyle w:val="Header"/>
        <w:tabs>
          <w:tab w:val="left" w:pos="720"/>
          <w:tab w:val="clear" w:pos="8640"/>
        </w:tabs>
        <w:jc w:val="center"/>
        <w:rPr>
          <w:rFonts w:ascii="Times New Roman" w:hAnsi="Times New Roman"/>
          <w:sz w:val="24"/>
          <w:szCs w:val="24"/>
          <w:lang w:val="lv-LV"/>
        </w:rPr>
      </w:pPr>
      <w:r w:rsidRPr="00217B40">
        <w:rPr>
          <w:rFonts w:ascii="Times New Roman" w:hAnsi="Times New Roman"/>
          <w:b/>
          <w:bCs/>
          <w:noProof/>
          <w:sz w:val="24"/>
          <w:szCs w:val="24"/>
        </w:rPr>
        <w:t>Metodiskie norādījumi par Centrālās resursu vadības sistēmas lietošanas kārtību</w:t>
      </w:r>
    </w:p>
    <w:p w:rsidR="004C6F78" w:rsidRPr="004C6F78" w:rsidP="00B47B8E" w14:paraId="0B772E0D" w14:textId="5921F434">
      <w:pPr>
        <w:widowControl/>
        <w:spacing w:before="100" w:beforeAutospacing="1" w:after="100" w:afterAutospacing="1" w:line="240" w:lineRule="auto"/>
        <w:contextualSpacing/>
        <w:jc w:val="right"/>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Izstrādāti saskaņā ar</w:t>
      </w:r>
    </w:p>
    <w:p w:rsidR="004C6F78" w:rsidRPr="004C6F78" w:rsidP="00B47B8E" w14:paraId="762E57A0" w14:textId="77777777">
      <w:pPr>
        <w:widowControl/>
        <w:spacing w:before="100" w:beforeAutospacing="1" w:after="100" w:afterAutospacing="1" w:line="240" w:lineRule="auto"/>
        <w:contextualSpacing/>
        <w:jc w:val="right"/>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Ministru kabineta 2024. gada 22. oktobra noteikumu Nr. 653 </w:t>
      </w:r>
    </w:p>
    <w:p w:rsidR="004C6F78" w:rsidRPr="004C6F78" w:rsidP="00B47B8E" w14:paraId="6AE48A16" w14:textId="1771E452">
      <w:pPr>
        <w:widowControl/>
        <w:spacing w:before="100" w:beforeAutospacing="1" w:after="100" w:afterAutospacing="1" w:line="240" w:lineRule="auto"/>
        <w:contextualSpacing/>
        <w:jc w:val="right"/>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“Kārtība, kādā Valsts kase sniedz pakalpojumus valsts pārvaldes vienotā pakalpojumu centra ietvaros, un kārtība un apjoms, kādā valsts budžeta iestādes un budžeta nefinansētas iestādes kārto grāmatvedības uzskaiti Valsts kasē valsts pārvaldes vienotā pakalpojumu centra ietvaros” 36.punktu</w:t>
      </w:r>
    </w:p>
    <w:p w:rsidR="004C6F78" w:rsidRPr="004C6F78" w:rsidP="004C6F78" w14:paraId="5C925CA9" w14:textId="77777777">
      <w:pPr>
        <w:widowControl/>
        <w:spacing w:before="100" w:beforeAutospacing="1" w:after="100" w:afterAutospacing="1" w:line="240" w:lineRule="auto"/>
        <w:jc w:val="right"/>
        <w:textAlignment w:val="baseline"/>
        <w:rPr>
          <w:rFonts w:ascii="Times New Roman" w:eastAsia="Times New Roman" w:hAnsi="Times New Roman"/>
          <w:sz w:val="24"/>
          <w:szCs w:val="24"/>
          <w:lang w:val="lv-LV" w:eastAsia="lv-LV"/>
        </w:rPr>
      </w:pPr>
    </w:p>
    <w:p w:rsidR="004C6F78" w:rsidRPr="004C6F78" w:rsidP="004C6F78" w14:paraId="75F9A42C" w14:textId="77777777">
      <w:pPr>
        <w:widowControl/>
        <w:spacing w:before="100" w:beforeAutospacing="1" w:after="100" w:afterAutospacing="1" w:line="240" w:lineRule="auto"/>
        <w:jc w:val="right"/>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w:t>
      </w:r>
    </w:p>
    <w:p w:rsidR="004C6F78" w:rsidRPr="004C6F78" w:rsidP="004C6F78" w14:paraId="051C1197" w14:textId="32B8F2B0">
      <w:pPr>
        <w:widowControl/>
        <w:numPr>
          <w:ilvl w:val="0"/>
          <w:numId w:val="12"/>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Vispārīgie jautājumi</w:t>
      </w:r>
    </w:p>
    <w:p w:rsidR="004C6F78" w:rsidRPr="004C6F78" w:rsidP="004C6F78" w14:paraId="20DB8D06" w14:textId="77777777">
      <w:pPr>
        <w:widowControl/>
        <w:spacing w:after="0" w:line="240" w:lineRule="auto"/>
        <w:ind w:left="720"/>
        <w:textAlignment w:val="baseline"/>
        <w:rPr>
          <w:rFonts w:ascii="Times New Roman" w:eastAsia="Times New Roman" w:hAnsi="Times New Roman"/>
          <w:sz w:val="24"/>
          <w:szCs w:val="24"/>
          <w:lang w:val="lv-LV" w:eastAsia="lv-LV"/>
        </w:rPr>
      </w:pPr>
    </w:p>
    <w:p w:rsidR="004C6F78" w:rsidRPr="004C6F78" w:rsidP="004C6F78" w14:paraId="21BDD761" w14:textId="77777777">
      <w:pPr>
        <w:widowControl/>
        <w:numPr>
          <w:ilvl w:val="1"/>
          <w:numId w:val="13"/>
        </w:numPr>
        <w:spacing w:after="0" w:line="240" w:lineRule="auto"/>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Šie metodiskie norādījumi (turpmāk – Norādījumi) nosaka kārtību, kādā Valsts kase (turpmāk – Pārzinis), Lietotāji un Iestāde sadarbojas Pārziņa pārvaldītās informācijas Sistēmas un ar to saistīto pakalpojumu izmantošanā. </w:t>
      </w:r>
    </w:p>
    <w:p w:rsidR="004C6F78" w:rsidRPr="004C6F78" w:rsidP="004C6F78" w14:paraId="0AFC608F" w14:textId="7370D2CE">
      <w:pPr>
        <w:widowControl/>
        <w:numPr>
          <w:ilvl w:val="1"/>
          <w:numId w:val="13"/>
        </w:numPr>
        <w:spacing w:after="0" w:line="240" w:lineRule="auto"/>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Norādījumu mērķis ir nodrošināt vienotu, drošu un efektīvu Sistēmas lietošanas, uzturēšanas un informācijas apmaiņas procesu.</w:t>
      </w:r>
    </w:p>
    <w:p w:rsidR="004C6F78" w:rsidRPr="004C6F78" w:rsidP="004C6F78" w14:paraId="0F1109E5" w14:textId="77777777">
      <w:pPr>
        <w:widowControl/>
        <w:spacing w:after="0" w:line="240" w:lineRule="auto"/>
        <w:ind w:left="360"/>
        <w:jc w:val="both"/>
        <w:textAlignment w:val="baseline"/>
        <w:rPr>
          <w:rFonts w:ascii="Times New Roman" w:eastAsia="Times New Roman" w:hAnsi="Times New Roman"/>
          <w:sz w:val="24"/>
          <w:szCs w:val="24"/>
          <w:lang w:val="lv-LV" w:eastAsia="lv-LV"/>
        </w:rPr>
      </w:pPr>
    </w:p>
    <w:p w:rsidR="004C6F78" w:rsidRPr="004C6F78" w:rsidP="004C6F78" w14:paraId="1BB555A9" w14:textId="182A883B">
      <w:pPr>
        <w:widowControl/>
        <w:numPr>
          <w:ilvl w:val="0"/>
          <w:numId w:val="14"/>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Lietotie termini</w:t>
      </w:r>
    </w:p>
    <w:p w:rsidR="004C6F78" w:rsidRPr="004C6F78" w:rsidP="004C6F78" w14:paraId="16A3E21B" w14:textId="77777777">
      <w:pPr>
        <w:widowControl/>
        <w:spacing w:after="0" w:line="240" w:lineRule="auto"/>
        <w:ind w:left="720"/>
        <w:textAlignment w:val="baseline"/>
        <w:rPr>
          <w:rFonts w:ascii="Times New Roman" w:eastAsia="Times New Roman" w:hAnsi="Times New Roman"/>
          <w:sz w:val="24"/>
          <w:szCs w:val="24"/>
          <w:lang w:val="lv-LV" w:eastAsia="lv-LV"/>
        </w:rPr>
      </w:pPr>
    </w:p>
    <w:p w:rsidR="004C6F78" w:rsidRPr="004C6F78" w:rsidP="00486DEC" w14:paraId="2825D1A5" w14:textId="0A0D792C">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Demo vide</w:t>
      </w:r>
      <w:r w:rsidRPr="004C6F78">
        <w:rPr>
          <w:rFonts w:ascii="Times New Roman" w:eastAsia="Times New Roman" w:hAnsi="Times New Roman"/>
          <w:sz w:val="24"/>
          <w:szCs w:val="24"/>
          <w:lang w:val="lv-LV" w:eastAsia="lv-LV"/>
        </w:rPr>
        <w:t xml:space="preserve"> – tehniski nodalīta, bet loģiski identiska Sistēmas vide, kas paredzēta Sistēmas funkcionalitātes izmēģināšanai, testēšanai un apmācībām. </w:t>
      </w:r>
    </w:p>
    <w:p w:rsidR="004C6F78" w:rsidRPr="004C6F78" w:rsidP="00486DEC" w14:paraId="4DE86462" w14:textId="77777777">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Iestāde</w:t>
      </w:r>
      <w:r w:rsidRPr="004C6F78">
        <w:rPr>
          <w:rFonts w:ascii="Times New Roman" w:eastAsia="Times New Roman" w:hAnsi="Times New Roman"/>
          <w:sz w:val="24"/>
          <w:szCs w:val="24"/>
          <w:lang w:val="lv-LV" w:eastAsia="lv-LV"/>
        </w:rPr>
        <w:t xml:space="preserve"> – valsts budžeta iestāde un budžeta nefinansēta iestāde, kas izmantojot Sistēmu, vienotā pakalpojumu centra ietvaros saņem grāmatvedības uzskaites un personāla lietvedības informācijas sistēmas pakalpojumus. </w:t>
      </w:r>
    </w:p>
    <w:p w:rsidR="004C6F78" w:rsidRPr="004C6F78" w:rsidP="00486DEC" w14:paraId="675FDB57" w14:textId="77777777">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Produkcijas vide</w:t>
      </w:r>
      <w:r w:rsidRPr="004C6F78">
        <w:rPr>
          <w:rFonts w:ascii="Times New Roman" w:eastAsia="Times New Roman" w:hAnsi="Times New Roman"/>
          <w:sz w:val="24"/>
          <w:szCs w:val="24"/>
          <w:lang w:val="lv-LV" w:eastAsia="lv-LV"/>
        </w:rPr>
        <w:t xml:space="preserve"> – Sistēmas pamatdarbības vide, kas tiek izmantota ikdienas darba uzdevumu veikšanai un datu apstrādei. </w:t>
      </w:r>
    </w:p>
    <w:p w:rsidR="004C6F78" w:rsidRPr="004C6F78" w:rsidP="00486DEC" w14:paraId="636E8D58" w14:textId="77777777">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 xml:space="preserve">Projektējums </w:t>
      </w:r>
      <w:r w:rsidRPr="004C6F78">
        <w:rPr>
          <w:rFonts w:ascii="Times New Roman" w:eastAsia="Times New Roman" w:hAnsi="Times New Roman"/>
          <w:sz w:val="24"/>
          <w:szCs w:val="24"/>
          <w:lang w:val="lv-LV" w:eastAsia="lv-LV"/>
        </w:rPr>
        <w:t xml:space="preserve">- Centralizētās grāmatvedības un personāla lietvedības informācijas sistēmas projektējuma un konfigurācijas apraksts, kas nosaka centralizācijas specifisko procesu un </w:t>
      </w:r>
      <w:r w:rsidRPr="004C6F78">
        <w:rPr>
          <w:rFonts w:ascii="Times New Roman" w:eastAsia="Times New Roman" w:hAnsi="Times New Roman"/>
          <w:sz w:val="24"/>
          <w:szCs w:val="24"/>
          <w:lang w:val="lv-LV" w:eastAsia="lv-LV"/>
        </w:rPr>
        <w:t>vienotā pakalpojumu centra standartizēto finanšu grāmatvedības uzskaites un personāla lietvedības procesu nodrošināšanu centralizētā risinājumā. </w:t>
      </w:r>
    </w:p>
    <w:p w:rsidR="004C6F78" w:rsidRPr="004C6F78" w:rsidP="00486DEC" w14:paraId="233142A9" w14:textId="77777777">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Redmine</w:t>
      </w:r>
      <w:r w:rsidRPr="004C6F78">
        <w:rPr>
          <w:rFonts w:ascii="Times New Roman" w:eastAsia="Times New Roman" w:hAnsi="Times New Roman"/>
          <w:sz w:val="24"/>
          <w:szCs w:val="24"/>
          <w:lang w:val="lv-LV" w:eastAsia="lv-LV"/>
        </w:rPr>
        <w:t xml:space="preserve"> – Pārziņa uzturēta projektu vadības un pieteikumu reģistrācijas sistēma, kas tiek izmantota kā oficiālais kanāls saziņai par Sistēmas jauninājumiem, problēmu pieteikumiem un konfigurācijas izmaiņām. </w:t>
      </w:r>
    </w:p>
    <w:p w:rsidR="004C6F78" w:rsidRPr="004C6F78" w:rsidP="00486DEC" w14:paraId="33D71121" w14:textId="77777777">
      <w:pPr>
        <w:widowControl/>
        <w:numPr>
          <w:ilvl w:val="1"/>
          <w:numId w:val="13"/>
        </w:numPr>
        <w:spacing w:after="0" w:line="240" w:lineRule="auto"/>
        <w:ind w:left="426" w:hanging="426"/>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 xml:space="preserve">Sistēma </w:t>
      </w:r>
      <w:r w:rsidRPr="004C6F78">
        <w:rPr>
          <w:rFonts w:ascii="Times New Roman" w:eastAsia="Times New Roman" w:hAnsi="Times New Roman"/>
          <w:sz w:val="24"/>
          <w:szCs w:val="24"/>
          <w:lang w:val="lv-LV" w:eastAsia="lv-LV"/>
        </w:rPr>
        <w:t>– Centralizēta grāmatvedības un personāla lietvedības IS, kas ietver grāmatvedības un personāla lietvedības uzskaites sistēmu un pašapkalpošanās portālu. </w:t>
      </w:r>
    </w:p>
    <w:p w:rsidR="004C6F78" w:rsidRPr="004C6F78" w:rsidP="004C6F78" w14:paraId="5CB9009E" w14:textId="77777777">
      <w:pPr>
        <w:spacing w:after="0" w:line="240" w:lineRule="auto"/>
        <w:ind w:left="426" w:hanging="426"/>
        <w:jc w:val="both"/>
        <w:rPr>
          <w:rFonts w:ascii="Times New Roman" w:hAnsi="Times New Roman"/>
          <w:sz w:val="24"/>
          <w:szCs w:val="24"/>
          <w:lang w:val="lv-LV"/>
        </w:rPr>
      </w:pPr>
    </w:p>
    <w:p w:rsidR="004C6F78" w:rsidRPr="004C6F78" w:rsidP="004C6F78" w14:paraId="4059A13D" w14:textId="4A541EB3">
      <w:pPr>
        <w:widowControl/>
        <w:numPr>
          <w:ilvl w:val="0"/>
          <w:numId w:val="15"/>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Lietošanas uzsākšana</w:t>
      </w:r>
    </w:p>
    <w:p w:rsidR="004C6F78" w:rsidRPr="004C6F78" w:rsidP="004C6F78" w14:paraId="498B73F5"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86DEC" w14:paraId="05EC4CD5" w14:textId="2DAF354D">
      <w:pPr>
        <w:widowControl/>
        <w:numPr>
          <w:ilvl w:val="1"/>
          <w:numId w:val="13"/>
        </w:numPr>
        <w:spacing w:after="0" w:line="240" w:lineRule="auto"/>
        <w:ind w:left="426" w:hanging="426"/>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Lai uzsāktu Sistēmas lietošanu, Iestāde iesniedz Pārzinim šādus dokumentus:</w:t>
      </w:r>
    </w:p>
    <w:p w:rsidR="004C6F78" w:rsidRPr="004C6F78" w:rsidP="000D4DCD" w14:paraId="554C3E27" w14:textId="78ECC0D9">
      <w:pPr>
        <w:widowControl/>
        <w:numPr>
          <w:ilvl w:val="2"/>
          <w:numId w:val="13"/>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Aizpildītu pieteikumu “Apraksts Sistēmas un Pakalpojumu konfigurācijai”;</w:t>
      </w:r>
    </w:p>
    <w:p w:rsidR="004C6F78" w:rsidRPr="004C6F78" w:rsidP="000D4DCD" w14:paraId="68F92F8A" w14:textId="44CC9E96">
      <w:pPr>
        <w:widowControl/>
        <w:numPr>
          <w:ilvl w:val="2"/>
          <w:numId w:val="13"/>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Aizpildītu pieteikumu “Par centralizētās grāmatvedības un personāla lietvedības informācijas sistēmas lietošanu”.</w:t>
      </w:r>
    </w:p>
    <w:p w:rsidR="004C6F78" w:rsidRPr="004C6F78" w:rsidP="004C6F78" w14:paraId="3AA1A503" w14:textId="1D438553">
      <w:pPr>
        <w:widowControl/>
        <w:numPr>
          <w:ilvl w:val="1"/>
          <w:numId w:val="13"/>
        </w:numPr>
        <w:spacing w:after="0" w:line="240" w:lineRule="auto"/>
        <w:ind w:left="426" w:hanging="426"/>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Pārzinis apstrādā iesniegtos pieteikumus un, ja nepieciešams, atsevišķi vienojas ar Iestādi par Sistēmas izmantošanas uzsākšanu.</w:t>
      </w:r>
    </w:p>
    <w:p w:rsidR="004C6F78" w:rsidRPr="004C6F78" w:rsidP="004C6F78" w14:paraId="664442CC" w14:textId="77777777">
      <w:pPr>
        <w:widowControl/>
        <w:spacing w:after="0" w:line="240" w:lineRule="auto"/>
        <w:ind w:left="720"/>
        <w:jc w:val="both"/>
        <w:textAlignment w:val="baseline"/>
        <w:rPr>
          <w:rFonts w:ascii="Times New Roman" w:eastAsia="Times New Roman" w:hAnsi="Times New Roman"/>
          <w:sz w:val="24"/>
          <w:szCs w:val="24"/>
          <w:lang w:val="lv-LV" w:eastAsia="lv-LV"/>
        </w:rPr>
      </w:pPr>
    </w:p>
    <w:p w:rsidR="004C6F78" w:rsidRPr="004C6F78" w:rsidP="004C6F78" w14:paraId="63C37CBA" w14:textId="41EE476E">
      <w:pPr>
        <w:widowControl/>
        <w:numPr>
          <w:ilvl w:val="0"/>
          <w:numId w:val="16"/>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Licencēšana un piekļuves pārvaldība</w:t>
      </w:r>
    </w:p>
    <w:p w:rsidR="004C6F78" w:rsidRPr="004C6F78" w:rsidP="004C6F78" w14:paraId="5D94C5A2"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86DEC" w14:paraId="2F6EBE6E" w14:textId="77777777">
      <w:pPr>
        <w:widowControl/>
        <w:numPr>
          <w:ilvl w:val="1"/>
          <w:numId w:val="13"/>
        </w:numPr>
        <w:spacing w:after="0" w:line="240" w:lineRule="auto"/>
        <w:ind w:left="426" w:hanging="426"/>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color w:val="000000"/>
          <w:sz w:val="24"/>
          <w:szCs w:val="24"/>
          <w:lang w:val="lv-LV" w:eastAsia="lv-LV"/>
        </w:rPr>
        <w:t xml:space="preserve">Pārzinis nodrošina Sistēmas licences atbilstoši Iestādes pieteiktajam nodarbināto skaitam un nepieciešamajai Sistēmas funkcionalitātei. </w:t>
      </w:r>
    </w:p>
    <w:p w:rsidR="004C6F78" w:rsidRPr="004C6F78" w:rsidP="00486DEC" w14:paraId="468C4EFD" w14:textId="465BA4C3">
      <w:pPr>
        <w:widowControl/>
        <w:numPr>
          <w:ilvl w:val="1"/>
          <w:numId w:val="13"/>
        </w:numPr>
        <w:spacing w:after="0" w:line="240" w:lineRule="auto"/>
        <w:ind w:left="426" w:hanging="426"/>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color w:val="000000"/>
          <w:sz w:val="24"/>
          <w:szCs w:val="24"/>
          <w:lang w:val="lv-LV" w:eastAsia="lv-LV"/>
        </w:rPr>
        <w:t>Iestādes pienākumi:</w:t>
      </w:r>
    </w:p>
    <w:p w:rsidR="00D73036" w:rsidP="00D73036" w14:paraId="77C2CC08" w14:textId="77777777">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color w:val="000000"/>
          <w:sz w:val="24"/>
          <w:szCs w:val="24"/>
          <w:lang w:val="lv-LV" w:eastAsia="lv-LV"/>
        </w:rPr>
        <w:t>Patstāvīgi pārvaldīt savas iestādes Lietotāju piekļuves tiesības Sistēmas pašapkalpošanās portālā HoP</w:t>
      </w:r>
      <w:r w:rsidR="000D4DCD">
        <w:rPr>
          <w:rFonts w:ascii="Times New Roman" w:eastAsia="Times New Roman" w:hAnsi="Times New Roman"/>
          <w:color w:val="000000"/>
          <w:sz w:val="24"/>
          <w:szCs w:val="24"/>
          <w:lang w:val="lv-LV" w:eastAsia="lv-LV"/>
        </w:rPr>
        <w:t>;</w:t>
      </w:r>
    </w:p>
    <w:p w:rsidR="004C6F78" w:rsidRPr="00D73036" w:rsidP="00D73036" w14:paraId="2FB93E87" w14:textId="6BA36E13">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D73036">
        <w:rPr>
          <w:rFonts w:ascii="Times New Roman" w:eastAsia="Times New Roman" w:hAnsi="Times New Roman"/>
          <w:color w:val="000000"/>
          <w:sz w:val="24"/>
          <w:szCs w:val="24"/>
          <w:lang w:val="lv-LV" w:eastAsia="lv-LV"/>
        </w:rPr>
        <w:t>Nekavējoties, bet ne vēlāk kā 5 (piecu) darba dienu laikā, rakstiski informēt Pārzini par būtiskām Iestādes nodarbināto skaita izmaiņām, kas ietekmē nepieciešamo licenču apjomu.</w:t>
      </w:r>
    </w:p>
    <w:p w:rsidR="004C6F78" w:rsidRPr="004C6F78" w:rsidP="004C6F78" w14:paraId="70A09BEE" w14:textId="77777777">
      <w:pPr>
        <w:widowControl/>
        <w:spacing w:after="0" w:line="240" w:lineRule="auto"/>
        <w:ind w:left="993" w:hanging="567"/>
        <w:jc w:val="both"/>
        <w:textAlignment w:val="baseline"/>
        <w:rPr>
          <w:rFonts w:ascii="Times New Roman" w:eastAsia="Times New Roman" w:hAnsi="Times New Roman"/>
          <w:sz w:val="24"/>
          <w:szCs w:val="24"/>
          <w:lang w:val="lv-LV" w:eastAsia="lv-LV"/>
        </w:rPr>
      </w:pPr>
    </w:p>
    <w:p w:rsidR="004C6F78" w:rsidRPr="004C6F78" w:rsidP="004C6F78" w14:paraId="5C8ADFF6" w14:textId="4781044A">
      <w:pPr>
        <w:widowControl/>
        <w:numPr>
          <w:ilvl w:val="0"/>
          <w:numId w:val="19"/>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Sistēmas uzturēšana un atjaunināšana</w:t>
      </w:r>
    </w:p>
    <w:p w:rsidR="004C6F78" w:rsidRPr="004C6F78" w:rsidP="004C6F78" w14:paraId="56BECCCA"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C6F78" w14:paraId="70C334DA" w14:textId="50C8D3A8">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Sistēma ir izveidota uz resursu vadības programmatūras </w:t>
      </w:r>
      <w:r w:rsidRPr="004C6F78">
        <w:rPr>
          <w:rFonts w:ascii="Times New Roman" w:eastAsia="Times New Roman" w:hAnsi="Times New Roman"/>
          <w:i/>
          <w:iCs/>
          <w:sz w:val="24"/>
          <w:szCs w:val="24"/>
          <w:lang w:val="lv-LV" w:eastAsia="lv-LV"/>
        </w:rPr>
        <w:t>Visma Horizon</w:t>
      </w:r>
      <w:r w:rsidRPr="004C6F78">
        <w:rPr>
          <w:rFonts w:ascii="Times New Roman" w:eastAsia="Times New Roman" w:hAnsi="Times New Roman"/>
          <w:sz w:val="24"/>
          <w:szCs w:val="24"/>
          <w:lang w:val="lv-LV" w:eastAsia="lv-LV"/>
        </w:rPr>
        <w:t xml:space="preserve"> bāzes, ietverot pašapkalpošanās portālu HoP un tīmekļa pakalpes. Tās funkcionalitāte un attīstība ir atkarīga no programmatūras ražotāja.</w:t>
      </w:r>
    </w:p>
    <w:p w:rsidR="004C6F78" w:rsidRPr="004C6F78" w:rsidP="004C6F78" w14:paraId="0BCF7660" w14:textId="436CB9B6">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Pārzinis nodrošina Sistēmas administrēšanu, konfigurēšanu, jauninājumu ieviešanu, problēmu risināšanu, Lietotāju atbalstu un drošības uzraudzību.</w:t>
      </w:r>
    </w:p>
    <w:p w:rsidR="004C6F78" w:rsidRPr="004C6F78" w:rsidP="004C6F78" w14:paraId="30FCF8FF" w14:textId="6EAB70DF">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Pārzinis nodrošina Demo vides uzturēšanu, kuras dati (t.sk., lietotāji un to tiesības) tiek atjaunoti no Produkcijas vides katru </w:t>
      </w:r>
      <w:r w:rsidR="00486DEC">
        <w:rPr>
          <w:rFonts w:ascii="Times New Roman" w:eastAsia="Times New Roman" w:hAnsi="Times New Roman"/>
          <w:sz w:val="24"/>
          <w:szCs w:val="24"/>
          <w:lang w:val="lv-LV" w:eastAsia="lv-LV"/>
        </w:rPr>
        <w:t>trešdienu</w:t>
      </w:r>
      <w:r w:rsidRPr="004C6F78">
        <w:rPr>
          <w:rFonts w:ascii="Times New Roman" w:eastAsia="Times New Roman" w:hAnsi="Times New Roman"/>
          <w:sz w:val="24"/>
          <w:szCs w:val="24"/>
          <w:lang w:val="lv-LV" w:eastAsia="lv-LV"/>
        </w:rPr>
        <w:t xml:space="preserve"> laika periodā </w:t>
      </w:r>
      <w:r w:rsidR="00486DEC">
        <w:rPr>
          <w:rFonts w:ascii="Times New Roman" w:eastAsia="Times New Roman" w:hAnsi="Times New Roman"/>
          <w:sz w:val="24"/>
          <w:szCs w:val="24"/>
          <w:lang w:val="lv-LV" w:eastAsia="lv-LV"/>
        </w:rPr>
        <w:t>7</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w:t>
      </w:r>
      <w:r w:rsidR="000D4DCD">
        <w:rPr>
          <w:rFonts w:ascii="Times New Roman" w:eastAsia="Times New Roman" w:hAnsi="Times New Roman"/>
          <w:sz w:val="24"/>
          <w:szCs w:val="24"/>
          <w:lang w:val="lv-LV" w:eastAsia="lv-LV"/>
        </w:rPr>
        <w:t>—</w:t>
      </w:r>
      <w:r w:rsidR="00486DEC">
        <w:rPr>
          <w:rFonts w:ascii="Times New Roman" w:eastAsia="Times New Roman" w:hAnsi="Times New Roman"/>
          <w:sz w:val="24"/>
          <w:szCs w:val="24"/>
          <w:lang w:val="lv-LV" w:eastAsia="lv-LV"/>
        </w:rPr>
        <w:t>8</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 Datu atjaunošana nenotiek laika periodā, kad Demo vidē tiek veikta jaunu versiju testēšana.</w:t>
      </w:r>
    </w:p>
    <w:p w:rsidR="004C6F78" w:rsidRPr="004C6F78" w:rsidP="004C6F78" w14:paraId="73E92A59" w14:textId="276709F1">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Pārzinis Sistēmas jaunās versijas vispirms uzstāda Demo vidē, parasti </w:t>
      </w:r>
      <w:r w:rsidR="00486DEC">
        <w:rPr>
          <w:rFonts w:ascii="Times New Roman" w:eastAsia="Times New Roman" w:hAnsi="Times New Roman"/>
          <w:sz w:val="24"/>
          <w:szCs w:val="24"/>
          <w:lang w:val="lv-LV" w:eastAsia="lv-LV"/>
        </w:rPr>
        <w:t>trešdienās</w:t>
      </w:r>
      <w:r w:rsidRPr="004C6F78">
        <w:rPr>
          <w:rFonts w:ascii="Times New Roman" w:eastAsia="Times New Roman" w:hAnsi="Times New Roman"/>
          <w:sz w:val="24"/>
          <w:szCs w:val="24"/>
          <w:lang w:val="lv-LV" w:eastAsia="lv-LV"/>
        </w:rPr>
        <w:t xml:space="preserve"> laika periodā </w:t>
      </w:r>
      <w:r w:rsidR="00486DEC">
        <w:rPr>
          <w:rFonts w:ascii="Times New Roman" w:eastAsia="Times New Roman" w:hAnsi="Times New Roman"/>
          <w:sz w:val="24"/>
          <w:szCs w:val="24"/>
          <w:lang w:val="lv-LV" w:eastAsia="lv-LV"/>
        </w:rPr>
        <w:t>8</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10</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w:t>
      </w:r>
    </w:p>
    <w:p w:rsidR="004C6F78" w:rsidRPr="004C6F78" w:rsidP="004C6F78" w14:paraId="530A7EC2" w14:textId="3278C885">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Pēc izmaiņu uzstādīšanas Pārzinis publicē informāciju Redmine par jauninājumu saturu (ar saiti uz ražotāja sniegto aprakstu).</w:t>
      </w:r>
    </w:p>
    <w:p w:rsidR="004C6F78" w:rsidRPr="004C6F78" w:rsidP="004C6F78" w14:paraId="54ADBE01" w14:textId="5EB15B66">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Iestādei tiek nodrošināts </w:t>
      </w:r>
      <w:r w:rsidRPr="004C6F78">
        <w:rPr>
          <w:rFonts w:ascii="Times New Roman" w:eastAsia="Times New Roman" w:hAnsi="Times New Roman"/>
          <w:color w:val="000000"/>
          <w:sz w:val="24"/>
          <w:szCs w:val="24"/>
          <w:lang w:val="lv-LV" w:eastAsia="lv-LV"/>
        </w:rPr>
        <w:t>vienas nedēļas t</w:t>
      </w:r>
      <w:r w:rsidRPr="004C6F78">
        <w:rPr>
          <w:rFonts w:ascii="Times New Roman" w:eastAsia="Times New Roman" w:hAnsi="Times New Roman"/>
          <w:sz w:val="24"/>
          <w:szCs w:val="24"/>
          <w:lang w:val="lv-LV" w:eastAsia="lv-LV"/>
        </w:rPr>
        <w:t>estēšanas periods, kura laikā Iestādes pienākums ir pārbaudīt jauno funkcionalitāti un tās ietekmi uz Iestādes izveidotajām integrāciju programmsaskarnēm.</w:t>
      </w:r>
    </w:p>
    <w:p w:rsidR="004C6F78" w:rsidRPr="004C6F78" w:rsidP="004C6F78" w14:paraId="285F0AED" w14:textId="55F59472">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Jauninājumus divas nedēļas pēc to uzstādīšanas Demo vidē un ar nosacījumu, ka nav identificētas būtiskas problēmas, Pārzinis uzstāda Produkcijas vidē, </w:t>
      </w:r>
      <w:r w:rsidR="00486DEC">
        <w:rPr>
          <w:rFonts w:ascii="Times New Roman" w:eastAsia="Times New Roman" w:hAnsi="Times New Roman"/>
          <w:sz w:val="24"/>
          <w:szCs w:val="24"/>
          <w:lang w:val="lv-LV" w:eastAsia="lv-LV"/>
        </w:rPr>
        <w:t>otrdienās</w:t>
      </w:r>
      <w:r w:rsidRPr="004C6F78">
        <w:rPr>
          <w:rFonts w:ascii="Times New Roman" w:eastAsia="Times New Roman" w:hAnsi="Times New Roman"/>
          <w:sz w:val="24"/>
          <w:szCs w:val="24"/>
          <w:lang w:val="lv-LV" w:eastAsia="lv-LV"/>
        </w:rPr>
        <w:t xml:space="preserve"> laika periodā</w:t>
      </w:r>
      <w:r w:rsidR="00C266A6">
        <w:rPr>
          <w:rFonts w:ascii="Times New Roman" w:eastAsia="Times New Roman" w:hAnsi="Times New Roman"/>
          <w:sz w:val="24"/>
          <w:szCs w:val="24"/>
          <w:lang w:val="lv-LV" w:eastAsia="lv-LV"/>
        </w:rPr>
        <w:t> </w:t>
      </w:r>
      <w:r w:rsidRPr="004C6F78">
        <w:rPr>
          <w:rFonts w:ascii="Times New Roman" w:eastAsia="Times New Roman" w:hAnsi="Times New Roman"/>
          <w:sz w:val="24"/>
          <w:szCs w:val="24"/>
          <w:lang w:val="lv-LV" w:eastAsia="lv-LV"/>
        </w:rPr>
        <w:t>20</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22</w:t>
      </w:r>
      <w:r w:rsidR="000D4DCD">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00, kas tiek iepriekš izziņots Redmine.</w:t>
      </w:r>
    </w:p>
    <w:p w:rsidR="004C6F78" w:rsidRPr="004C6F78" w:rsidP="004C6F78" w14:paraId="6132E26A" w14:textId="59D08178">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Kritiskus Sistēmas drošības vai darbības kļūdu labojumus (t.sk., Sistēmas laidienus) Pārzinis uzstāda visās Sistēmas vidēs nekavējoties, par to informējot Iestādes Redmine.</w:t>
      </w:r>
    </w:p>
    <w:p w:rsidR="004C6F78" w:rsidRPr="004C6F78" w:rsidP="004C6F78" w14:paraId="7824DED0" w14:textId="2F03D041">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Iestādei, izmantojot tīmekļa pakalpes, pieprasījumu noslodze nedrīkst pārsniegt vienu pieprasījumu sekundē no vienas IP adreses ar īslaicīgu pieļaujamu desmitkārtīgu </w:t>
      </w:r>
      <w:r w:rsidRPr="004C6F78">
        <w:rPr>
          <w:rFonts w:ascii="Times New Roman" w:eastAsia="Times New Roman" w:hAnsi="Times New Roman"/>
          <w:sz w:val="24"/>
          <w:szCs w:val="24"/>
          <w:lang w:val="lv-LV" w:eastAsia="lv-LV"/>
        </w:rPr>
        <w:t>pieaugumu. Ierobežojumi var tikt pārskatīti, Iestādei vienojoties ar Pārzini par nepieciešamo pieprasījumu intensitāti.</w:t>
      </w:r>
    </w:p>
    <w:p w:rsidR="004C6F78" w:rsidRPr="004C6F78" w:rsidP="004C6F78" w14:paraId="3984B764" w14:textId="77777777">
      <w:pPr>
        <w:widowControl/>
        <w:spacing w:after="0" w:line="240" w:lineRule="auto"/>
        <w:ind w:left="720"/>
        <w:jc w:val="both"/>
        <w:textAlignment w:val="baseline"/>
        <w:rPr>
          <w:rFonts w:ascii="Times New Roman" w:eastAsia="Times New Roman" w:hAnsi="Times New Roman"/>
          <w:sz w:val="24"/>
          <w:szCs w:val="24"/>
          <w:lang w:val="lv-LV" w:eastAsia="lv-LV"/>
        </w:rPr>
      </w:pPr>
    </w:p>
    <w:p w:rsidR="004C6F78" w:rsidRPr="004C6F78" w:rsidP="004C6F78" w14:paraId="337C4B79" w14:textId="494CC17D">
      <w:pPr>
        <w:widowControl/>
        <w:numPr>
          <w:ilvl w:val="0"/>
          <w:numId w:val="20"/>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Problēmu un konfigurācijas izmaiņu pārvaldība</w:t>
      </w:r>
    </w:p>
    <w:p w:rsidR="004C6F78" w:rsidRPr="004C6F78" w:rsidP="004C6F78" w14:paraId="42683A1F"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C6F78" w14:paraId="338A96F2" w14:textId="6263FD32">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Ja Iestāde konstatē problēmu (incidentu) Sistēmas darbībā, tā iesniedz Pārzinim pieteikumu Redmine, norādot detalizētu problēmas aprakstu, darbības, kas veiktas pirms problēmas rašanās, un, ja iespējams, pievienojot ekrānšāviņus.</w:t>
      </w:r>
    </w:p>
    <w:p w:rsidR="004C6F78" w:rsidRPr="004C6F78" w:rsidP="004C6F78" w14:paraId="66CD9A07" w14:textId="283AC909">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Ja Iestāde 18.</w:t>
      </w:r>
      <w:r w:rsidR="008D2ECC">
        <w:rPr>
          <w:rFonts w:ascii="Times New Roman" w:eastAsia="Times New Roman" w:hAnsi="Times New Roman"/>
          <w:sz w:val="24"/>
          <w:szCs w:val="24"/>
          <w:lang w:val="lv-LV" w:eastAsia="lv-LV"/>
        </w:rPr>
        <w:t> </w:t>
      </w:r>
      <w:r w:rsidRPr="004C6F78">
        <w:rPr>
          <w:rFonts w:ascii="Times New Roman" w:eastAsia="Times New Roman" w:hAnsi="Times New Roman"/>
          <w:sz w:val="24"/>
          <w:szCs w:val="24"/>
          <w:lang w:val="lv-LV" w:eastAsia="lv-LV"/>
        </w:rPr>
        <w:t>punktā minētajā testēšanas periodā konstatē problēmas, ko izraisījušas Sistēmas izmaiņas un ko Iestāde nevar novērst, pielāgojot savas programmsaskarnes, tā iesniedz detalizētu pieteikumu Redmine ne vēlāk kā vienas nedēļas laikā pēc jauninājumu uzstādīšanas Demo vidē.</w:t>
      </w:r>
    </w:p>
    <w:p w:rsidR="004C6F78" w:rsidRPr="004C6F78" w:rsidP="004C6F78" w14:paraId="789AEFC2" w14:textId="4C023294">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Pārzinis Sistēmā nodrošina uzstādījumus atbilstoši Projektējumam, t.sk., Iestāžu individuālos. Ja Iestādei rodas nepieciešamība pēc tādiem nestandarta uzstādījumiem, kas ir pieļaujami (sasakņošanas scenāriji un brīdinājumi), bet nav paredzēti atbilstoši Projektējumam, Iestādei ir iespēja veikt un uzturēt šādus uzstādījumus ar saviem iekšējiem resursiem. Iestāde uzņemas pilnu atbildību par šādu uzstādījumu uzturēšanu un to ietekmi uz Sistēmas darbību.</w:t>
      </w:r>
    </w:p>
    <w:p w:rsidR="004C6F78" w:rsidRPr="004C6F78" w:rsidP="004C6F78" w14:paraId="6AECD0EC" w14:textId="77777777">
      <w:pPr>
        <w:widowControl/>
        <w:spacing w:after="0" w:line="240" w:lineRule="auto"/>
        <w:ind w:left="720"/>
        <w:jc w:val="both"/>
        <w:textAlignment w:val="baseline"/>
        <w:rPr>
          <w:rFonts w:ascii="Times New Roman" w:eastAsia="Times New Roman" w:hAnsi="Times New Roman"/>
          <w:sz w:val="24"/>
          <w:szCs w:val="24"/>
          <w:lang w:val="lv-LV" w:eastAsia="lv-LV"/>
        </w:rPr>
      </w:pPr>
    </w:p>
    <w:p w:rsidR="004C6F78" w:rsidRPr="004C6F78" w:rsidP="004C6F78" w14:paraId="1A17D9DC" w14:textId="77777777">
      <w:pPr>
        <w:widowControl/>
        <w:numPr>
          <w:ilvl w:val="0"/>
          <w:numId w:val="21"/>
        </w:numPr>
        <w:spacing w:after="0" w:line="240" w:lineRule="auto"/>
        <w:ind w:firstLine="0"/>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Datu analīzes risinājumu nodrošināšana un izmantošana</w:t>
      </w:r>
    </w:p>
    <w:p w:rsidR="004C6F78" w:rsidRPr="004C6F78" w:rsidP="004C6F78" w14:paraId="200D8499"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C6F78" w14:paraId="41A4937C" w14:textId="723F2FB7">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Lai nodrošinātu Iestādēm iespēju veikt padziļinātu datu analīzi, netraucējot Sistēmas pamatdarbību, Pārzinis piedāvā centralizētu biznesa inteliģences risinājumu, kas sastāv no šādām komponentēm:</w:t>
      </w:r>
    </w:p>
    <w:p w:rsidR="004C6F78" w:rsidRPr="004C6F78" w:rsidP="008D2ECC" w14:paraId="61BAD4D6" w14:textId="12F5DD42">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Datu noliktava (Horizon BI): Pārzinis uztur no Sistēmas Produkcijas vides tehniski nodalītu datu atspoguļojumu (datu noliktavu), kas pazīstama kā Horizon BI. Šāda pieeja nodrošina, ka apjomīgi analītiskie vaicājumi neietekmē Sistēmas ikdienas darbības ātrumu un stabilitāti</w:t>
      </w:r>
      <w:r w:rsidR="008D2ECC">
        <w:rPr>
          <w:rFonts w:ascii="Times New Roman" w:eastAsia="Times New Roman" w:hAnsi="Times New Roman"/>
          <w:sz w:val="24"/>
          <w:szCs w:val="24"/>
          <w:lang w:val="lv-LV" w:eastAsia="lv-LV"/>
        </w:rPr>
        <w:t>;</w:t>
      </w:r>
    </w:p>
    <w:p w:rsidR="004C6F78" w:rsidRPr="004C6F78" w:rsidP="008D2ECC" w14:paraId="5783F8F2" w14:textId="7D35DBE1">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Datu analīzes rīks (Apache Superset): Kā standarta pašapkalpošanās analīzes rīku Pārzinis piedāvā piekļuvi uz atvērtā koda balstītai platformai Apache Superset, kas nodrošina iespēju veidot interaktīvus datu paneļus (dashboards), grafikus un veikt datu griezumus bez nepieciešamības pēc specializētām programmēšanas zināšanām.</w:t>
      </w:r>
    </w:p>
    <w:p w:rsidR="004C6F78" w:rsidRPr="004C6F78" w:rsidP="004C6F78" w14:paraId="7CF248A2" w14:textId="16413BB4">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Iestāde Pārziņa piedāvāto datu analīzes risinājumu var izmantot šādos veidos:</w:t>
      </w:r>
    </w:p>
    <w:p w:rsidR="004C6F78" w:rsidRPr="004C6F78" w:rsidP="008D2ECC" w14:paraId="75D95E31" w14:textId="5F9C30B2">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Iestāde izmanto Pārziņa uzturēto Superset rīku, kur Pārzinis nodrošina piekļuvi un rīka pamatdarbību, bet neveido un nepielāgo Iestādei specifiskas atskaites vai datu paneļus. Lietotāju apmācību darbam ar rīku Iestāde organizē ar saviem resursiem;</w:t>
      </w:r>
    </w:p>
    <w:p w:rsidR="004C6F78" w:rsidRPr="004C6F78" w:rsidP="008D2ECC" w14:paraId="2EFF7B02" w14:textId="0605015F">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Iestāde pieslēdzas Horizon BI datu noliktavai, izmantojot savus biznesa inteliģences rīkus (piemēram, Microsoft Power BI, Qlik, Tableau u.c.). Iestāde ar saviem resursiem nodrošina nepieciešamo licenču iegādi un programmatūras uzturēšanu, droša savienojuma izveidi un uzturēšanu ar Horizon BI, kā arī datu modeļu, vaicājumu un atskaišu izstrādi, testēšanu un pareizību.</w:t>
      </w:r>
    </w:p>
    <w:p w:rsidR="004C6F78" w:rsidRPr="004C6F78" w:rsidP="004C6F78" w14:paraId="1A1EC349" w14:textId="4D842C1E">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Ja Iestādei savu analītisko uzdevumu veikšanai ir nepieciešamas papildu datu kopas, kas nav pieejamas Horizon BI datu noliktavā, tā ierosina to pievienošanu, iesniedzot pieteikumu atbalsta sistēmā Redmine, norādot šādu informāciju - detalizēts biznesa pamatojums (skaidrojums, kādiem analīzes mērķiem un lēmumu pieņemšanai dati tiks izmantoti), datu specifikācija (norāde uz konkrētām datu entītijām, laukiem vai klasifikatoriem no Sistēmas, kurus nepieciešams iekļaut datu noliktavā) un sagaidāmais ieguvums (apraksts, kā jauno datu pieejamība uzlabos Iestādes darbības efektivitāti vai analīzes iespējas).</w:t>
      </w:r>
    </w:p>
    <w:p w:rsidR="004C6F78" w:rsidRPr="004C6F78" w:rsidP="004C6F78" w14:paraId="29368CE8" w14:textId="77777777">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Pārzinis izvērtē katru saņemto pieprasījumu par jaunu datu kopu pievienošanu Horizon BI datu noliktavā, ņemot vērā tā tehnisko iespējamību, resursu ietilpību, drošības aspektus un ieguvumu plašākam Iestāžu lokam. Pēc izvērtēšanas Pārzinis pieņem lēmumu par </w:t>
      </w:r>
      <w:r w:rsidRPr="004C6F78">
        <w:rPr>
          <w:rFonts w:ascii="Times New Roman" w:eastAsia="Times New Roman" w:hAnsi="Times New Roman"/>
          <w:sz w:val="24"/>
          <w:szCs w:val="24"/>
          <w:lang w:val="lv-LV" w:eastAsia="lv-LV"/>
        </w:rPr>
        <w:t>pieprasījuma apstiprināšanu un iekļaušanu turpmākajos Sistēmas attīstības plānos vai par tā noraidīšanu, sniedzot argumentētu pamatojumu. </w:t>
      </w:r>
    </w:p>
    <w:p w:rsidR="004C6F78" w:rsidRPr="004C6F78" w:rsidP="004C6F78" w14:paraId="2CC85B67" w14:textId="77777777">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Dati Horizon BI datu noliktavā tiek ielādēti no Sistēmas vienu reizi diennaktī laika posmā no 00:00 līdz 01:00. Iestādei, veicot analīzi, ir jāņem vērā, ka dati atspoguļo stāvokli uz iepriekšējās darba dienas beigām un nav sinhronizēti ar Sistēmas vidi reāllaikā. </w:t>
      </w:r>
    </w:p>
    <w:p w:rsidR="004C6F78" w:rsidRPr="004C6F78" w:rsidP="004C6F78" w14:paraId="1D673DF6" w14:textId="1A2CD65E">
      <w:pPr>
        <w:widowControl/>
        <w:numPr>
          <w:ilvl w:val="0"/>
          <w:numId w:val="17"/>
        </w:numPr>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Pārzinis nodrošina tehnisko atbalstu un konsultācijas tikai par pieslēguma parametriem un piekļuves nodrošināšanu Horizon BI datu noliktavai. Pārzinis nesniedz atbalstu par trešo pušu analītisko rīku lietošanu, konfigurēšanu vai specifisku SQL vaicājumu izstrādi.</w:t>
      </w:r>
    </w:p>
    <w:p w:rsidR="004C6F78" w:rsidRPr="004C6F78" w:rsidP="004C6F78" w14:paraId="1CC0BB0B" w14:textId="77777777">
      <w:pPr>
        <w:widowControl/>
        <w:spacing w:after="0" w:line="240" w:lineRule="auto"/>
        <w:ind w:left="720"/>
        <w:jc w:val="both"/>
        <w:textAlignment w:val="baseline"/>
        <w:rPr>
          <w:rFonts w:ascii="Times New Roman" w:eastAsia="Times New Roman" w:hAnsi="Times New Roman"/>
          <w:sz w:val="24"/>
          <w:szCs w:val="24"/>
          <w:lang w:val="lv-LV" w:eastAsia="lv-LV"/>
        </w:rPr>
      </w:pPr>
    </w:p>
    <w:p w:rsidR="004C6F78" w:rsidRPr="004C6F78" w:rsidP="00D84AAE" w14:paraId="28D46313" w14:textId="77777777">
      <w:pPr>
        <w:widowControl/>
        <w:numPr>
          <w:ilvl w:val="0"/>
          <w:numId w:val="22"/>
        </w:numPr>
        <w:tabs>
          <w:tab w:val="clear" w:pos="720"/>
        </w:tabs>
        <w:spacing w:after="0" w:line="240" w:lineRule="auto"/>
        <w:jc w:val="center"/>
        <w:textAlignment w:val="baseline"/>
        <w:rPr>
          <w:rFonts w:ascii="Times New Roman" w:eastAsia="Times New Roman" w:hAnsi="Times New Roman"/>
          <w:b/>
          <w:bCs/>
          <w:color w:val="000000"/>
          <w:sz w:val="24"/>
          <w:szCs w:val="24"/>
          <w:lang w:val="lv-LV" w:eastAsia="lv-LV"/>
        </w:rPr>
      </w:pPr>
      <w:r w:rsidRPr="004C6F78">
        <w:rPr>
          <w:rFonts w:ascii="Times New Roman" w:eastAsia="Times New Roman" w:hAnsi="Times New Roman"/>
          <w:b/>
          <w:bCs/>
          <w:color w:val="000000"/>
          <w:sz w:val="24"/>
          <w:szCs w:val="24"/>
          <w:lang w:val="lv-LV" w:eastAsia="lv-LV"/>
        </w:rPr>
        <w:t>Komunikācija avārijas vai krīzes gadījumā </w:t>
      </w:r>
    </w:p>
    <w:p w:rsidR="004C6F78" w:rsidRPr="004C6F78" w:rsidP="004C6F78" w14:paraId="76E98DB7" w14:textId="77777777">
      <w:pPr>
        <w:widowControl/>
        <w:spacing w:after="0" w:line="240" w:lineRule="auto"/>
        <w:ind w:left="720"/>
        <w:textAlignment w:val="baseline"/>
        <w:rPr>
          <w:rFonts w:ascii="Times New Roman" w:eastAsia="Times New Roman" w:hAnsi="Times New Roman"/>
          <w:b/>
          <w:bCs/>
          <w:color w:val="000000"/>
          <w:sz w:val="24"/>
          <w:szCs w:val="24"/>
          <w:lang w:val="lv-LV" w:eastAsia="lv-LV"/>
        </w:rPr>
      </w:pPr>
    </w:p>
    <w:p w:rsidR="004C6F78" w:rsidRPr="004C6F78" w:rsidP="004C6F78" w14:paraId="78EEA00F" w14:textId="77777777">
      <w:pPr>
        <w:widowControl/>
        <w:numPr>
          <w:ilvl w:val="0"/>
          <w:numId w:val="17"/>
        </w:numPr>
        <w:tabs>
          <w:tab w:val="left" w:pos="993"/>
        </w:tabs>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Visa saziņa par Sistēmas jauninājumiem, plānotajiem darbiem un konfigurācijas izmaiņām notiek, izmantojot Redmine.</w:t>
      </w:r>
    </w:p>
    <w:p w:rsidR="004C6F78" w:rsidRPr="004C6F78" w:rsidP="004C6F78" w14:paraId="757F65F1" w14:textId="77777777">
      <w:pPr>
        <w:widowControl/>
        <w:numPr>
          <w:ilvl w:val="0"/>
          <w:numId w:val="17"/>
        </w:numPr>
        <w:tabs>
          <w:tab w:val="left" w:pos="993"/>
        </w:tabs>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Rīcība Sistēmas nepieejamības gadījumā:</w:t>
      </w:r>
    </w:p>
    <w:p w:rsidR="004C6F78" w:rsidRPr="004C6F78" w:rsidP="0057206A" w14:paraId="3376D08D" w14:textId="381F0C6F">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b/>
          <w:bCs/>
          <w:sz w:val="24"/>
          <w:szCs w:val="24"/>
          <w:lang w:val="lv-LV" w:eastAsia="lv-LV"/>
        </w:rPr>
        <w:t>Iestādes rīcība:</w:t>
      </w:r>
      <w:r w:rsidRPr="004C6F78">
        <w:rPr>
          <w:rFonts w:ascii="Times New Roman" w:eastAsia="Times New Roman" w:hAnsi="Times New Roman"/>
          <w:sz w:val="24"/>
          <w:szCs w:val="24"/>
          <w:lang w:val="lv-LV" w:eastAsia="lv-LV"/>
        </w:rPr>
        <w:t xml:space="preserve"> Ja Sistēma nav pieejama un Redmine nav publicēts paziņojums par plānotu pārtraukumu, Iestāde nekavējoties sazinās ar Pārziņa atbalsta dienestu pa tālruni</w:t>
      </w:r>
      <w:r w:rsidR="000565DB">
        <w:rPr>
          <w:rFonts w:ascii="Times New Roman" w:eastAsia="Times New Roman" w:hAnsi="Times New Roman"/>
          <w:sz w:val="24"/>
          <w:szCs w:val="24"/>
          <w:lang w:val="lv-LV" w:eastAsia="lv-LV"/>
        </w:rPr>
        <w:t> </w:t>
      </w:r>
      <w:r w:rsidRPr="004C6F78">
        <w:rPr>
          <w:rFonts w:ascii="Times New Roman" w:eastAsia="Times New Roman" w:hAnsi="Times New Roman"/>
          <w:sz w:val="24"/>
          <w:szCs w:val="24"/>
          <w:lang w:val="lv-LV" w:eastAsia="lv-LV"/>
        </w:rPr>
        <w:t>67094368 vai e-pastu</w:t>
      </w:r>
      <w:r w:rsidR="000565DB">
        <w:rPr>
          <w:rFonts w:ascii="Times New Roman" w:eastAsia="Times New Roman" w:hAnsi="Times New Roman"/>
          <w:sz w:val="24"/>
          <w:szCs w:val="24"/>
          <w:lang w:val="lv-LV" w:eastAsia="lv-LV"/>
        </w:rPr>
        <w:t> </w:t>
      </w:r>
      <w:hyperlink r:id="rId4" w:tgtFrame="_blank" w:history="1">
        <w:r w:rsidRPr="004C6F78">
          <w:rPr>
            <w:rFonts w:ascii="Times New Roman" w:eastAsia="Times New Roman" w:hAnsi="Times New Roman"/>
            <w:color w:val="0000FF"/>
            <w:sz w:val="24"/>
            <w:szCs w:val="24"/>
            <w:u w:val="single"/>
            <w:lang w:val="lv-LV" w:eastAsia="lv-LV"/>
          </w:rPr>
          <w:t>ekase@kase.gov.lv</w:t>
        </w:r>
      </w:hyperlink>
      <w:r w:rsidRPr="004C6F78">
        <w:rPr>
          <w:rFonts w:ascii="Times New Roman" w:eastAsia="Times New Roman" w:hAnsi="Times New Roman"/>
          <w:sz w:val="24"/>
          <w:szCs w:val="24"/>
          <w:lang w:val="lv-LV" w:eastAsia="lv-LV"/>
        </w:rPr>
        <w:t xml:space="preserve"> un rīkojas saskaņā ar savu apstiprināto darbības nepārtrauktības plānu.</w:t>
      </w:r>
    </w:p>
    <w:p w:rsidR="004C6F78" w:rsidRPr="004C6F78" w:rsidP="0057206A" w14:paraId="702B90C1" w14:textId="7E69C7CA">
      <w:pPr>
        <w:widowControl/>
        <w:numPr>
          <w:ilvl w:val="1"/>
          <w:numId w:val="17"/>
        </w:numPr>
        <w:spacing w:after="0" w:line="240" w:lineRule="auto"/>
        <w:ind w:left="1134" w:hanging="708"/>
        <w:contextualSpacing/>
        <w:jc w:val="both"/>
        <w:textAlignment w:val="baseline"/>
        <w:rPr>
          <w:rFonts w:ascii="Times New Roman" w:eastAsia="Times New Roman" w:hAnsi="Times New Roman"/>
          <w:sz w:val="24"/>
          <w:szCs w:val="24"/>
          <w:lang w:val="lv-LV" w:eastAsia="lv-LV"/>
        </w:rPr>
      </w:pPr>
      <w:bookmarkStart w:id="3" w:name="_Ref219882403"/>
      <w:r w:rsidRPr="004C6F78">
        <w:rPr>
          <w:rFonts w:ascii="Times New Roman" w:eastAsia="Times New Roman" w:hAnsi="Times New Roman"/>
          <w:b/>
          <w:bCs/>
          <w:sz w:val="24"/>
          <w:szCs w:val="24"/>
          <w:lang w:val="lv-LV" w:eastAsia="lv-LV"/>
        </w:rPr>
        <w:t>Pārziņa rīcība:</w:t>
      </w:r>
      <w:r w:rsidRPr="004C6F78">
        <w:rPr>
          <w:rFonts w:ascii="Times New Roman" w:eastAsia="Times New Roman" w:hAnsi="Times New Roman"/>
          <w:sz w:val="24"/>
          <w:szCs w:val="24"/>
          <w:lang w:val="lv-LV" w:eastAsia="lv-LV"/>
        </w:rPr>
        <w:t xml:space="preserve"> Pārzinis, ievietojot paziņojumu Redmine, informē Iestādes par neplānotu pārtraukumu un paredzamo atrisināšanas laiku. Pēc Sistēmas darbības atjaunošanas Pārzinis izplata apstiprinājuma informāciju.</w:t>
      </w:r>
      <w:bookmarkEnd w:id="3"/>
    </w:p>
    <w:p w:rsidR="004C6F78" w:rsidP="004C6F78" w14:paraId="525D2CA8" w14:textId="185B5872">
      <w:pPr>
        <w:widowControl/>
        <w:numPr>
          <w:ilvl w:val="0"/>
          <w:numId w:val="17"/>
        </w:numPr>
        <w:tabs>
          <w:tab w:val="left" w:pos="993"/>
        </w:tabs>
        <w:spacing w:after="0" w:line="240" w:lineRule="auto"/>
        <w:contextualSpacing/>
        <w:jc w:val="both"/>
        <w:textAlignment w:val="baseline"/>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 xml:space="preserve">Iestāde ir atbildīga par savu Lietotāju informēšanu par Sistēmas pieejamības apstākļiem, ko Pārzinis ir izplatījis Norādījumu un īpaši Norādījumu </w:t>
      </w:r>
      <w:r w:rsidR="0057206A">
        <w:rPr>
          <w:rFonts w:ascii="Times New Roman" w:eastAsia="Times New Roman" w:hAnsi="Times New Roman"/>
          <w:sz w:val="24"/>
          <w:szCs w:val="24"/>
          <w:lang w:val="lv-LV" w:eastAsia="lv-LV"/>
        </w:rPr>
        <w:fldChar w:fldCharType="begin"/>
      </w:r>
      <w:r w:rsidR="0057206A">
        <w:rPr>
          <w:rFonts w:ascii="Times New Roman" w:eastAsia="Times New Roman" w:hAnsi="Times New Roman"/>
          <w:sz w:val="24"/>
          <w:szCs w:val="24"/>
          <w:lang w:val="lv-LV" w:eastAsia="lv-LV"/>
        </w:rPr>
        <w:instrText xml:space="preserve"> REF _Ref219882403 \r \h </w:instrText>
      </w:r>
      <w:r w:rsidR="0057206A">
        <w:rPr>
          <w:rFonts w:ascii="Times New Roman" w:eastAsia="Times New Roman" w:hAnsi="Times New Roman"/>
          <w:sz w:val="24"/>
          <w:szCs w:val="24"/>
          <w:lang w:val="lv-LV" w:eastAsia="lv-LV"/>
        </w:rPr>
        <w:fldChar w:fldCharType="separate"/>
      </w:r>
      <w:r w:rsidR="0057206A">
        <w:rPr>
          <w:rFonts w:ascii="Times New Roman" w:eastAsia="Times New Roman" w:hAnsi="Times New Roman"/>
          <w:sz w:val="24"/>
          <w:szCs w:val="24"/>
          <w:lang w:val="lv-LV" w:eastAsia="lv-LV"/>
        </w:rPr>
        <w:t>‎32.2</w:t>
      </w:r>
      <w:r w:rsidR="0057206A">
        <w:rPr>
          <w:rFonts w:ascii="Times New Roman" w:eastAsia="Times New Roman" w:hAnsi="Times New Roman"/>
          <w:sz w:val="24"/>
          <w:szCs w:val="24"/>
          <w:lang w:val="lv-LV" w:eastAsia="lv-LV"/>
        </w:rPr>
        <w:fldChar w:fldCharType="end"/>
      </w:r>
      <w:r w:rsidRPr="004C6F78">
        <w:rPr>
          <w:rFonts w:ascii="Times New Roman" w:eastAsia="Times New Roman" w:hAnsi="Times New Roman"/>
          <w:sz w:val="24"/>
          <w:szCs w:val="24"/>
          <w:lang w:val="lv-LV" w:eastAsia="lv-LV"/>
        </w:rPr>
        <w:t>. punkta ietvaros.</w:t>
      </w:r>
    </w:p>
    <w:p w:rsidR="00D84AAE" w:rsidP="00D84AAE" w14:paraId="0A36FF0C" w14:textId="77777777">
      <w:pPr>
        <w:widowControl/>
        <w:tabs>
          <w:tab w:val="left" w:pos="993"/>
        </w:tabs>
        <w:spacing w:after="0" w:line="240" w:lineRule="auto"/>
        <w:ind w:left="480"/>
        <w:contextualSpacing/>
        <w:jc w:val="both"/>
        <w:textAlignment w:val="baseline"/>
        <w:rPr>
          <w:rFonts w:ascii="Times New Roman" w:eastAsia="Times New Roman" w:hAnsi="Times New Roman"/>
          <w:sz w:val="24"/>
          <w:szCs w:val="24"/>
          <w:lang w:val="lv-LV" w:eastAsia="lv-LV"/>
        </w:rPr>
      </w:pPr>
    </w:p>
    <w:p w:rsidR="00D84AAE" w:rsidP="00D84AAE" w14:paraId="34BEE37D" w14:textId="684C91DE">
      <w:pPr>
        <w:pStyle w:val="ListParagraph"/>
        <w:widowControl/>
        <w:numPr>
          <w:ilvl w:val="0"/>
          <w:numId w:val="22"/>
        </w:numPr>
        <w:tabs>
          <w:tab w:val="left" w:pos="993"/>
        </w:tabs>
        <w:spacing w:after="0" w:line="240" w:lineRule="auto"/>
        <w:jc w:val="center"/>
        <w:textAlignment w:val="baseline"/>
        <w:rPr>
          <w:rFonts w:ascii="Times New Roman" w:eastAsia="Times New Roman" w:hAnsi="Times New Roman"/>
          <w:b/>
          <w:bCs/>
          <w:sz w:val="24"/>
          <w:szCs w:val="24"/>
          <w:lang w:val="lv-LV" w:eastAsia="lv-LV"/>
        </w:rPr>
      </w:pPr>
      <w:r w:rsidRPr="00D84AAE">
        <w:rPr>
          <w:rFonts w:ascii="Times New Roman" w:eastAsia="Times New Roman" w:hAnsi="Times New Roman"/>
          <w:b/>
          <w:bCs/>
          <w:sz w:val="24"/>
          <w:szCs w:val="24"/>
          <w:lang w:val="lv-LV" w:eastAsia="lv-LV"/>
        </w:rPr>
        <w:t>Noslēguma jautājums</w:t>
      </w:r>
    </w:p>
    <w:p w:rsidR="00D84AAE" w:rsidRPr="00D84AAE" w:rsidP="00D84AAE" w14:paraId="78010ECC" w14:textId="77777777">
      <w:pPr>
        <w:pStyle w:val="ListParagraph"/>
        <w:widowControl/>
        <w:tabs>
          <w:tab w:val="left" w:pos="993"/>
        </w:tabs>
        <w:spacing w:after="0" w:line="240" w:lineRule="auto"/>
        <w:textAlignment w:val="baseline"/>
        <w:rPr>
          <w:rFonts w:ascii="Times New Roman" w:eastAsia="Times New Roman" w:hAnsi="Times New Roman"/>
          <w:b/>
          <w:bCs/>
          <w:sz w:val="24"/>
          <w:szCs w:val="24"/>
          <w:lang w:val="lv-LV" w:eastAsia="lv-LV"/>
        </w:rPr>
      </w:pPr>
    </w:p>
    <w:p w:rsidR="004C6F78" w:rsidRPr="004C6F78" w:rsidP="00E74F83" w14:paraId="64890210" w14:textId="358CDA56">
      <w:pPr>
        <w:widowControl/>
        <w:numPr>
          <w:ilvl w:val="0"/>
          <w:numId w:val="17"/>
        </w:numPr>
        <w:shd w:val="clear" w:color="auto" w:fill="FFFFFF"/>
        <w:tabs>
          <w:tab w:val="left" w:pos="993"/>
        </w:tabs>
        <w:spacing w:after="0" w:line="240" w:lineRule="auto"/>
        <w:contextualSpacing/>
        <w:jc w:val="both"/>
        <w:textAlignment w:val="baseline"/>
        <w:rPr>
          <w:rFonts w:ascii="Times New Roman" w:hAnsi="Times New Roman"/>
          <w:sz w:val="24"/>
          <w:szCs w:val="24"/>
          <w:lang w:val="lv-LV"/>
        </w:rPr>
      </w:pPr>
      <w:r w:rsidRPr="004C6F78">
        <w:rPr>
          <w:rFonts w:ascii="Times New Roman" w:eastAsia="Times New Roman" w:hAnsi="Times New Roman"/>
          <w:sz w:val="24"/>
          <w:szCs w:val="24"/>
          <w:lang w:val="lv-LV" w:eastAsia="lv-LV"/>
        </w:rPr>
        <w:t>Atzīt par spēku zaudējušu Valsts kases 2025.</w:t>
      </w:r>
      <w:r w:rsidR="0057206A">
        <w:rPr>
          <w:rFonts w:ascii="Times New Roman" w:eastAsia="Times New Roman" w:hAnsi="Times New Roman"/>
          <w:sz w:val="24"/>
          <w:szCs w:val="24"/>
          <w:lang w:val="lv-LV" w:eastAsia="lv-LV"/>
        </w:rPr>
        <w:t> </w:t>
      </w:r>
      <w:r w:rsidRPr="004C6F78">
        <w:rPr>
          <w:rFonts w:ascii="Times New Roman" w:eastAsia="Times New Roman" w:hAnsi="Times New Roman"/>
          <w:sz w:val="24"/>
          <w:szCs w:val="24"/>
          <w:lang w:val="lv-LV" w:eastAsia="lv-LV"/>
        </w:rPr>
        <w:t>gada 8.</w:t>
      </w:r>
      <w:r w:rsidR="0057206A">
        <w:rPr>
          <w:rFonts w:ascii="Times New Roman" w:eastAsia="Times New Roman" w:hAnsi="Times New Roman"/>
          <w:sz w:val="24"/>
          <w:szCs w:val="24"/>
          <w:lang w:val="lv-LV" w:eastAsia="lv-LV"/>
        </w:rPr>
        <w:t> </w:t>
      </w:r>
      <w:r w:rsidRPr="004C6F78">
        <w:rPr>
          <w:rFonts w:ascii="Times New Roman" w:eastAsia="Times New Roman" w:hAnsi="Times New Roman"/>
          <w:sz w:val="24"/>
          <w:szCs w:val="24"/>
          <w:lang w:val="lv-LV" w:eastAsia="lv-LV"/>
        </w:rPr>
        <w:t>septembra</w:t>
      </w:r>
      <w:r>
        <w:rPr>
          <w:rFonts w:ascii="Times New Roman" w:eastAsia="Times New Roman" w:hAnsi="Times New Roman"/>
          <w:sz w:val="24"/>
          <w:szCs w:val="24"/>
          <w:lang w:val="lv-LV" w:eastAsia="lv-LV"/>
        </w:rPr>
        <w:t xml:space="preserve"> </w:t>
      </w:r>
      <w:r w:rsidRPr="004C6F78">
        <w:rPr>
          <w:rFonts w:ascii="Times New Roman" w:eastAsia="Times New Roman" w:hAnsi="Times New Roman"/>
          <w:sz w:val="24"/>
          <w:szCs w:val="24"/>
          <w:lang w:val="lv-LV" w:eastAsia="lv-LV"/>
        </w:rPr>
        <w:t xml:space="preserve">apstiprināto dokumentu </w:t>
      </w:r>
      <w:r>
        <w:rPr>
          <w:rFonts w:ascii="Times New Roman" w:eastAsia="Times New Roman" w:hAnsi="Times New Roman"/>
          <w:sz w:val="24"/>
          <w:szCs w:val="24"/>
          <w:lang w:val="lv-LV" w:eastAsia="lv-LV"/>
        </w:rPr>
        <w:t>Nr.</w:t>
      </w:r>
      <w:r w:rsidR="0057206A">
        <w:rPr>
          <w:rFonts w:ascii="Times New Roman" w:eastAsia="Times New Roman" w:hAnsi="Times New Roman"/>
          <w:sz w:val="24"/>
          <w:szCs w:val="24"/>
          <w:lang w:val="lv-LV" w:eastAsia="lv-LV"/>
        </w:rPr>
        <w:t> </w:t>
      </w:r>
      <w:r>
        <w:rPr>
          <w:rFonts w:ascii="Times New Roman" w:eastAsia="Times New Roman" w:hAnsi="Times New Roman"/>
          <w:sz w:val="24"/>
          <w:szCs w:val="24"/>
          <w:lang w:val="lv-LV" w:eastAsia="lv-LV"/>
        </w:rPr>
        <w:t>16</w:t>
      </w:r>
      <w:r w:rsidR="0057206A">
        <w:rPr>
          <w:rFonts w:ascii="Times New Roman" w:eastAsia="Times New Roman" w:hAnsi="Times New Roman"/>
          <w:sz w:val="24"/>
          <w:szCs w:val="24"/>
          <w:lang w:val="lv-LV" w:eastAsia="lv-LV"/>
        </w:rPr>
        <w:t> </w:t>
      </w:r>
      <w:r>
        <w:rPr>
          <w:rFonts w:ascii="Times New Roman" w:eastAsia="Times New Roman" w:hAnsi="Times New Roman"/>
          <w:sz w:val="24"/>
          <w:szCs w:val="24"/>
          <w:lang w:val="lv-LV" w:eastAsia="lv-LV"/>
        </w:rPr>
        <w:t>“</w:t>
      </w:r>
      <w:r w:rsidRPr="004C6F78">
        <w:rPr>
          <w:rFonts w:ascii="Times New Roman" w:eastAsia="Times New Roman" w:hAnsi="Times New Roman"/>
          <w:sz w:val="24"/>
          <w:szCs w:val="24"/>
          <w:lang w:val="lv-LV" w:eastAsia="lv-LV"/>
        </w:rPr>
        <w:t>Metodiskie norādījumi par Centrālās resursu vadības sistēmas lietošanas kārtību</w:t>
      </w:r>
      <w:r>
        <w:rPr>
          <w:rFonts w:ascii="Times New Roman" w:eastAsia="Times New Roman" w:hAnsi="Times New Roman"/>
          <w:sz w:val="24"/>
          <w:szCs w:val="24"/>
          <w:lang w:val="lv-LV" w:eastAsia="lv-LV"/>
        </w:rPr>
        <w:t>”.</w:t>
      </w:r>
    </w:p>
    <w:p w:rsidR="00907513" w:rsidRPr="004C6F78" w:rsidP="00BE29E4" w14:paraId="47E2D0A2" w14:textId="77777777">
      <w:pPr>
        <w:spacing w:after="0" w:line="240" w:lineRule="auto"/>
        <w:jc w:val="both"/>
        <w:rPr>
          <w:rFonts w:ascii="Times New Roman" w:hAnsi="Times New Roman"/>
          <w:sz w:val="24"/>
          <w:szCs w:val="24"/>
          <w:lang w:val="lv-LV"/>
        </w:rPr>
      </w:pPr>
    </w:p>
    <w:p w:rsidR="00AE5F74" w:rsidRPr="004C6F78" w:rsidP="00BE29E4" w14:paraId="636AAB98" w14:textId="77777777">
      <w:pPr>
        <w:spacing w:after="0" w:line="240" w:lineRule="auto"/>
        <w:jc w:val="both"/>
        <w:rPr>
          <w:rFonts w:ascii="Times New Roman" w:hAnsi="Times New Roman"/>
          <w:sz w:val="24"/>
          <w:szCs w:val="24"/>
          <w:lang w:val="lv-LV"/>
        </w:rPr>
      </w:pPr>
    </w:p>
    <w:tbl>
      <w:tblPr>
        <w:tblW w:w="9827" w:type="dxa"/>
        <w:tblInd w:w="108" w:type="dxa"/>
        <w:tblLook w:val="0000"/>
      </w:tblPr>
      <w:tblGrid>
        <w:gridCol w:w="3119"/>
        <w:gridCol w:w="3140"/>
        <w:gridCol w:w="3568"/>
      </w:tblGrid>
      <w:tr w14:paraId="0F07BF3C" w14:textId="77777777" w:rsidTr="00E91065">
        <w:tblPrEx>
          <w:tblW w:w="9827" w:type="dxa"/>
          <w:tblInd w:w="108" w:type="dxa"/>
          <w:tblLook w:val="0000"/>
        </w:tblPrEx>
        <w:tc>
          <w:tcPr>
            <w:tcW w:w="3119" w:type="dxa"/>
          </w:tcPr>
          <w:p w:rsidR="00E91065" w:rsidP="004C6F78" w14:paraId="38C468DB" w14:textId="77777777">
            <w:pPr>
              <w:spacing w:after="0" w:line="240" w:lineRule="auto"/>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Informācijas tehnoloģiju departamenta direktor</w:t>
            </w:r>
            <w:r>
              <w:rPr>
                <w:rFonts w:ascii="Times New Roman" w:eastAsia="Times New Roman" w:hAnsi="Times New Roman"/>
                <w:sz w:val="24"/>
                <w:szCs w:val="24"/>
                <w:lang w:val="lv-LV" w:eastAsia="lv-LV"/>
              </w:rPr>
              <w:t>a vietā –</w:t>
            </w:r>
            <w:r w:rsidRPr="004C6F78">
              <w:rPr>
                <w:rFonts w:ascii="Times New Roman" w:eastAsia="Times New Roman" w:hAnsi="Times New Roman"/>
                <w:sz w:val="24"/>
                <w:szCs w:val="24"/>
                <w:lang w:val="lv-LV" w:eastAsia="lv-LV"/>
              </w:rPr>
              <w:t xml:space="preserve"> </w:t>
            </w:r>
          </w:p>
          <w:p w:rsidR="004C6F78" w:rsidRPr="004C6F78" w:rsidP="004C6F78" w14:paraId="78370DB3" w14:textId="0E8B7DF4">
            <w:pPr>
              <w:spacing w:after="0" w:line="240" w:lineRule="auto"/>
              <w:rPr>
                <w:rFonts w:ascii="Times New Roman" w:eastAsia="Times New Roman" w:hAnsi="Times New Roman"/>
                <w:sz w:val="24"/>
                <w:szCs w:val="24"/>
                <w:lang w:val="lv-LV" w:eastAsia="lv-LV"/>
              </w:rPr>
            </w:pPr>
            <w:r w:rsidRPr="004C6F78">
              <w:rPr>
                <w:rFonts w:ascii="Times New Roman" w:eastAsia="Times New Roman" w:hAnsi="Times New Roman"/>
                <w:sz w:val="24"/>
                <w:szCs w:val="24"/>
                <w:lang w:val="lv-LV" w:eastAsia="lv-LV"/>
              </w:rPr>
              <w:t>Informācijas tehnoloģiju departamenta direktor</w:t>
            </w:r>
            <w:r>
              <w:rPr>
                <w:rFonts w:ascii="Times New Roman" w:eastAsia="Times New Roman" w:hAnsi="Times New Roman"/>
                <w:sz w:val="24"/>
                <w:szCs w:val="24"/>
                <w:lang w:val="lv-LV" w:eastAsia="lv-LV"/>
              </w:rPr>
              <w:t>a vietniece/</w:t>
            </w:r>
            <w:r w:rsidRPr="00820C64">
              <w:rPr>
                <w:rFonts w:ascii="Times New Roman" w:eastAsia="Times New Roman" w:hAnsi="Times New Roman"/>
                <w:sz w:val="24"/>
                <w:szCs w:val="24"/>
                <w:lang w:val="lv-LV"/>
              </w:rPr>
              <w:t xml:space="preserve"> Informācijas tehnoloģiju attīstības daļas</w:t>
            </w:r>
            <w:r>
              <w:rPr>
                <w:rFonts w:ascii="Times New Roman" w:eastAsia="Times New Roman" w:hAnsi="Times New Roman"/>
                <w:sz w:val="24"/>
                <w:szCs w:val="24"/>
                <w:lang w:val="lv-LV"/>
              </w:rPr>
              <w:t xml:space="preserve"> vadītāja</w:t>
            </w:r>
          </w:p>
          <w:p w:rsidR="00AE5F74" w:rsidRPr="00AE5F74" w:rsidP="00BE29E4" w14:paraId="0E45D0C5" w14:textId="610E2F3C">
            <w:pPr>
              <w:spacing w:after="0" w:line="240" w:lineRule="auto"/>
              <w:rPr>
                <w:rFonts w:ascii="Times New Roman" w:hAnsi="Times New Roman"/>
                <w:sz w:val="24"/>
                <w:szCs w:val="24"/>
                <w:lang w:val="lv-LV"/>
              </w:rPr>
            </w:pPr>
          </w:p>
        </w:tc>
        <w:tc>
          <w:tcPr>
            <w:tcW w:w="3140" w:type="dxa"/>
          </w:tcPr>
          <w:p w:rsidR="00E91065" w:rsidP="00BE29E4" w14:paraId="4CD89841" w14:textId="77777777">
            <w:pPr>
              <w:spacing w:after="0" w:line="240" w:lineRule="auto"/>
              <w:jc w:val="center"/>
              <w:rPr>
                <w:rFonts w:ascii="Times New Roman" w:hAnsi="Times New Roman"/>
                <w:sz w:val="24"/>
                <w:szCs w:val="24"/>
                <w:lang w:val="lv-LV"/>
              </w:rPr>
            </w:pPr>
          </w:p>
          <w:p w:rsidR="00E91065" w:rsidP="00BE29E4" w14:paraId="70E51F41" w14:textId="77777777">
            <w:pPr>
              <w:spacing w:after="0" w:line="240" w:lineRule="auto"/>
              <w:jc w:val="center"/>
              <w:rPr>
                <w:rFonts w:ascii="Times New Roman" w:hAnsi="Times New Roman"/>
                <w:sz w:val="24"/>
                <w:szCs w:val="24"/>
                <w:lang w:val="lv-LV"/>
              </w:rPr>
            </w:pPr>
          </w:p>
          <w:p w:rsidR="00E91065" w:rsidP="00BE29E4" w14:paraId="3B31B28B" w14:textId="77777777">
            <w:pPr>
              <w:spacing w:after="0" w:line="240" w:lineRule="auto"/>
              <w:jc w:val="center"/>
              <w:rPr>
                <w:rFonts w:ascii="Times New Roman" w:hAnsi="Times New Roman"/>
                <w:sz w:val="24"/>
                <w:szCs w:val="24"/>
                <w:lang w:val="lv-LV"/>
              </w:rPr>
            </w:pPr>
          </w:p>
          <w:p w:rsidR="00E91065" w:rsidP="00BE29E4" w14:paraId="6E7ECE13" w14:textId="77777777">
            <w:pPr>
              <w:spacing w:after="0" w:line="240" w:lineRule="auto"/>
              <w:jc w:val="center"/>
              <w:rPr>
                <w:rFonts w:ascii="Times New Roman" w:hAnsi="Times New Roman"/>
                <w:sz w:val="24"/>
                <w:szCs w:val="24"/>
                <w:lang w:val="lv-LV"/>
              </w:rPr>
            </w:pPr>
          </w:p>
          <w:p w:rsidR="00E91065" w:rsidP="00BE29E4" w14:paraId="77F0F1A4" w14:textId="77777777">
            <w:pPr>
              <w:spacing w:after="0" w:line="240" w:lineRule="auto"/>
              <w:jc w:val="center"/>
              <w:rPr>
                <w:rFonts w:ascii="Times New Roman" w:hAnsi="Times New Roman"/>
                <w:sz w:val="24"/>
                <w:szCs w:val="24"/>
                <w:lang w:val="lv-LV"/>
              </w:rPr>
            </w:pPr>
          </w:p>
          <w:p w:rsidR="00E91065" w:rsidP="00BE29E4" w14:paraId="696702D8" w14:textId="77777777">
            <w:pPr>
              <w:spacing w:after="0" w:line="240" w:lineRule="auto"/>
              <w:jc w:val="center"/>
              <w:rPr>
                <w:rFonts w:ascii="Times New Roman" w:hAnsi="Times New Roman"/>
                <w:sz w:val="24"/>
                <w:szCs w:val="24"/>
                <w:lang w:val="lv-LV"/>
              </w:rPr>
            </w:pPr>
          </w:p>
          <w:p w:rsidR="00E91065" w:rsidP="00BE29E4" w14:paraId="03074F20" w14:textId="77777777">
            <w:pPr>
              <w:spacing w:after="0" w:line="240" w:lineRule="auto"/>
              <w:jc w:val="center"/>
              <w:rPr>
                <w:rFonts w:ascii="Times New Roman" w:hAnsi="Times New Roman"/>
                <w:sz w:val="24"/>
                <w:szCs w:val="24"/>
                <w:lang w:val="lv-LV"/>
              </w:rPr>
            </w:pPr>
          </w:p>
          <w:p w:rsidR="00AE5F74" w:rsidRPr="00AE5F74" w:rsidP="00BE29E4" w14:paraId="2766D449" w14:textId="2FE51946">
            <w:pPr>
              <w:spacing w:after="0" w:line="240" w:lineRule="auto"/>
              <w:jc w:val="center"/>
              <w:rPr>
                <w:rFonts w:ascii="Times New Roman" w:hAnsi="Times New Roman"/>
                <w:sz w:val="24"/>
                <w:szCs w:val="24"/>
                <w:lang w:val="lv-LV"/>
              </w:rPr>
            </w:pPr>
            <w:r w:rsidRPr="00AE5F74">
              <w:rPr>
                <w:rFonts w:ascii="Times New Roman" w:hAnsi="Times New Roman"/>
                <w:sz w:val="24"/>
                <w:szCs w:val="24"/>
                <w:lang w:val="lv-LV"/>
              </w:rPr>
              <w:t>(paraksts*)</w:t>
            </w:r>
          </w:p>
        </w:tc>
        <w:tc>
          <w:tcPr>
            <w:tcW w:w="3568" w:type="dxa"/>
          </w:tcPr>
          <w:p w:rsidR="00E91065" w:rsidP="00BE29E4" w14:paraId="5B6F3366" w14:textId="77777777">
            <w:pPr>
              <w:spacing w:after="0" w:line="240" w:lineRule="auto"/>
              <w:jc w:val="right"/>
              <w:rPr>
                <w:rFonts w:ascii="Times New Roman" w:hAnsi="Times New Roman"/>
                <w:sz w:val="24"/>
                <w:szCs w:val="24"/>
                <w:lang w:val="lv-LV"/>
              </w:rPr>
            </w:pPr>
          </w:p>
          <w:p w:rsidR="00E91065" w:rsidP="00BE29E4" w14:paraId="147A448F" w14:textId="77777777">
            <w:pPr>
              <w:spacing w:after="0" w:line="240" w:lineRule="auto"/>
              <w:jc w:val="right"/>
              <w:rPr>
                <w:rFonts w:ascii="Times New Roman" w:hAnsi="Times New Roman"/>
                <w:sz w:val="24"/>
                <w:szCs w:val="24"/>
                <w:lang w:val="lv-LV"/>
              </w:rPr>
            </w:pPr>
          </w:p>
          <w:p w:rsidR="00E91065" w:rsidP="00BE29E4" w14:paraId="1F6AFC6E" w14:textId="77777777">
            <w:pPr>
              <w:spacing w:after="0" w:line="240" w:lineRule="auto"/>
              <w:jc w:val="right"/>
              <w:rPr>
                <w:rFonts w:ascii="Times New Roman" w:hAnsi="Times New Roman"/>
                <w:sz w:val="24"/>
                <w:szCs w:val="24"/>
                <w:lang w:val="lv-LV"/>
              </w:rPr>
            </w:pPr>
          </w:p>
          <w:p w:rsidR="00E91065" w:rsidP="00BE29E4" w14:paraId="7807C377" w14:textId="77777777">
            <w:pPr>
              <w:spacing w:after="0" w:line="240" w:lineRule="auto"/>
              <w:jc w:val="right"/>
              <w:rPr>
                <w:rFonts w:ascii="Times New Roman" w:hAnsi="Times New Roman"/>
                <w:sz w:val="24"/>
                <w:szCs w:val="24"/>
                <w:lang w:val="lv-LV"/>
              </w:rPr>
            </w:pPr>
          </w:p>
          <w:p w:rsidR="00E91065" w:rsidP="00BE29E4" w14:paraId="41139896" w14:textId="77777777">
            <w:pPr>
              <w:spacing w:after="0" w:line="240" w:lineRule="auto"/>
              <w:jc w:val="right"/>
              <w:rPr>
                <w:rFonts w:ascii="Times New Roman" w:hAnsi="Times New Roman"/>
                <w:sz w:val="24"/>
                <w:szCs w:val="24"/>
                <w:lang w:val="lv-LV"/>
              </w:rPr>
            </w:pPr>
          </w:p>
          <w:p w:rsidR="00E91065" w:rsidP="00BE29E4" w14:paraId="2A1EABCA" w14:textId="77777777">
            <w:pPr>
              <w:spacing w:after="0" w:line="240" w:lineRule="auto"/>
              <w:jc w:val="right"/>
              <w:rPr>
                <w:rFonts w:ascii="Times New Roman" w:hAnsi="Times New Roman"/>
                <w:sz w:val="24"/>
                <w:szCs w:val="24"/>
                <w:lang w:val="lv-LV"/>
              </w:rPr>
            </w:pPr>
          </w:p>
          <w:p w:rsidR="00E91065" w:rsidP="00BE29E4" w14:paraId="2959DD27" w14:textId="77777777">
            <w:pPr>
              <w:spacing w:after="0" w:line="240" w:lineRule="auto"/>
              <w:jc w:val="right"/>
              <w:rPr>
                <w:rFonts w:ascii="Times New Roman" w:hAnsi="Times New Roman"/>
                <w:sz w:val="24"/>
                <w:szCs w:val="24"/>
                <w:lang w:val="lv-LV"/>
              </w:rPr>
            </w:pPr>
          </w:p>
          <w:p w:rsidR="00AE5F74" w:rsidRPr="00AE5F74" w:rsidP="00BE29E4" w14:paraId="2EEAA945" w14:textId="75B12EB5">
            <w:pPr>
              <w:spacing w:after="0" w:line="240" w:lineRule="auto"/>
              <w:jc w:val="right"/>
              <w:rPr>
                <w:rFonts w:ascii="Times New Roman" w:hAnsi="Times New Roman"/>
                <w:sz w:val="24"/>
                <w:szCs w:val="24"/>
                <w:lang w:val="lv-LV"/>
              </w:rPr>
            </w:pPr>
            <w:r>
              <w:rPr>
                <w:rFonts w:ascii="Times New Roman" w:hAnsi="Times New Roman"/>
                <w:sz w:val="24"/>
                <w:szCs w:val="24"/>
                <w:lang w:val="lv-LV"/>
              </w:rPr>
              <w:t>A.Lange</w:t>
            </w:r>
          </w:p>
          <w:p w:rsidR="00AE5F74" w:rsidRPr="00AE5F74" w:rsidP="00BE29E4" w14:paraId="7B6C911B" w14:textId="77777777">
            <w:pPr>
              <w:spacing w:after="0" w:line="240" w:lineRule="auto"/>
              <w:jc w:val="right"/>
              <w:rPr>
                <w:rFonts w:ascii="Times New Roman" w:hAnsi="Times New Roman"/>
                <w:sz w:val="24"/>
                <w:szCs w:val="24"/>
                <w:lang w:val="lv-LV"/>
              </w:rPr>
            </w:pPr>
          </w:p>
        </w:tc>
      </w:tr>
    </w:tbl>
    <w:p w:rsidR="00AE5F74" w:rsidRPr="00AE5F74" w:rsidP="008134ED" w14:paraId="37400F2E" w14:textId="77777777">
      <w:pPr>
        <w:spacing w:after="0" w:line="240" w:lineRule="auto"/>
        <w:ind w:right="11"/>
        <w:jc w:val="both"/>
        <w:rPr>
          <w:rFonts w:ascii="Times New Roman" w:hAnsi="Times New Roman"/>
          <w:sz w:val="24"/>
          <w:szCs w:val="24"/>
          <w:lang w:val="lv-LV"/>
        </w:rPr>
      </w:pPr>
      <w:r w:rsidRPr="00AE5F74">
        <w:rPr>
          <w:rFonts w:ascii="Times New Roman" w:hAnsi="Times New Roman"/>
          <w:sz w:val="24"/>
          <w:szCs w:val="24"/>
          <w:lang w:val="lv-LV"/>
        </w:rPr>
        <w:t>*Dokuments ir parakstīts ar drošu elektronisko parakstu</w:t>
      </w:r>
    </w:p>
    <w:p w:rsidR="00AE5F74" w:rsidP="008134ED" w14:paraId="2F931BE6" w14:textId="77777777">
      <w:pPr>
        <w:spacing w:after="0" w:line="240" w:lineRule="auto"/>
        <w:ind w:right="11"/>
        <w:jc w:val="both"/>
        <w:rPr>
          <w:rFonts w:ascii="Times New Roman" w:hAnsi="Times New Roman"/>
          <w:sz w:val="24"/>
          <w:szCs w:val="24"/>
          <w:lang w:val="lv-LV"/>
        </w:rPr>
      </w:pPr>
    </w:p>
    <w:p w:rsidR="008134ED" w:rsidP="008134ED" w14:paraId="39A20545" w14:textId="77777777">
      <w:pPr>
        <w:spacing w:after="0" w:line="240" w:lineRule="auto"/>
        <w:ind w:right="11"/>
        <w:jc w:val="both"/>
        <w:rPr>
          <w:rFonts w:ascii="Times New Roman" w:hAnsi="Times New Roman"/>
          <w:sz w:val="24"/>
          <w:szCs w:val="24"/>
          <w:lang w:val="lv-LV"/>
        </w:rPr>
      </w:pPr>
    </w:p>
    <w:p w:rsidR="008134ED" w:rsidP="008134ED" w14:paraId="17B1032F" w14:textId="77777777">
      <w:pPr>
        <w:spacing w:after="0" w:line="240" w:lineRule="auto"/>
        <w:ind w:right="11"/>
        <w:jc w:val="both"/>
        <w:rPr>
          <w:rFonts w:ascii="Times New Roman" w:hAnsi="Times New Roman"/>
          <w:sz w:val="24"/>
          <w:szCs w:val="24"/>
          <w:lang w:val="lv-LV"/>
        </w:rPr>
      </w:pPr>
    </w:p>
    <w:p w:rsidR="008134ED" w:rsidP="008134ED" w14:paraId="7CD3D0C0" w14:textId="77777777">
      <w:pPr>
        <w:spacing w:after="0" w:line="240" w:lineRule="auto"/>
        <w:ind w:right="11"/>
        <w:jc w:val="both"/>
        <w:rPr>
          <w:rFonts w:ascii="Times New Roman" w:hAnsi="Times New Roman"/>
          <w:sz w:val="24"/>
          <w:szCs w:val="24"/>
          <w:lang w:val="lv-LV"/>
        </w:rPr>
      </w:pPr>
    </w:p>
    <w:p w:rsidR="008134ED" w:rsidP="008134ED" w14:paraId="28A85DFA" w14:textId="77777777">
      <w:pPr>
        <w:spacing w:after="0" w:line="240" w:lineRule="auto"/>
        <w:ind w:right="11"/>
        <w:jc w:val="both"/>
        <w:rPr>
          <w:rFonts w:ascii="Times New Roman" w:hAnsi="Times New Roman"/>
          <w:sz w:val="24"/>
          <w:szCs w:val="24"/>
          <w:lang w:val="lv-LV"/>
        </w:rPr>
      </w:pPr>
    </w:p>
    <w:p w:rsidR="008134ED" w:rsidP="008134ED" w14:paraId="5E2A1AEE" w14:textId="77777777">
      <w:pPr>
        <w:spacing w:after="0" w:line="240" w:lineRule="auto"/>
        <w:ind w:right="11"/>
        <w:jc w:val="both"/>
        <w:rPr>
          <w:rFonts w:ascii="Times New Roman" w:hAnsi="Times New Roman"/>
          <w:sz w:val="24"/>
          <w:szCs w:val="24"/>
          <w:lang w:val="lv-LV"/>
        </w:rPr>
      </w:pPr>
    </w:p>
    <w:p w:rsidR="008134ED" w:rsidP="008134ED" w14:paraId="105817DF" w14:textId="77777777">
      <w:pPr>
        <w:spacing w:after="0" w:line="240" w:lineRule="auto"/>
        <w:ind w:right="11"/>
        <w:jc w:val="both"/>
        <w:rPr>
          <w:rFonts w:ascii="Times New Roman" w:hAnsi="Times New Roman"/>
          <w:sz w:val="24"/>
          <w:szCs w:val="24"/>
          <w:lang w:val="lv-LV"/>
        </w:rPr>
      </w:pPr>
    </w:p>
    <w:p w:rsidR="008134ED" w:rsidP="008134ED" w14:paraId="1E987FB5" w14:textId="77777777">
      <w:pPr>
        <w:spacing w:after="0" w:line="240" w:lineRule="auto"/>
        <w:ind w:right="11"/>
        <w:jc w:val="both"/>
        <w:rPr>
          <w:rFonts w:ascii="Times New Roman" w:hAnsi="Times New Roman"/>
          <w:sz w:val="24"/>
          <w:szCs w:val="24"/>
          <w:lang w:val="lv-LV"/>
        </w:rPr>
      </w:pPr>
    </w:p>
    <w:p w:rsidR="008134ED" w:rsidP="008134ED" w14:paraId="5B681759" w14:textId="77777777">
      <w:pPr>
        <w:spacing w:after="0" w:line="240" w:lineRule="auto"/>
        <w:ind w:right="11"/>
        <w:jc w:val="both"/>
        <w:rPr>
          <w:rFonts w:ascii="Times New Roman" w:hAnsi="Times New Roman"/>
          <w:sz w:val="24"/>
          <w:szCs w:val="24"/>
          <w:lang w:val="lv-LV"/>
        </w:rPr>
      </w:pPr>
    </w:p>
    <w:p w:rsidR="008134ED" w:rsidP="008134ED" w14:paraId="43548DF2" w14:textId="77777777">
      <w:pPr>
        <w:spacing w:after="0" w:line="240" w:lineRule="auto"/>
        <w:ind w:right="11"/>
        <w:jc w:val="both"/>
        <w:rPr>
          <w:rFonts w:ascii="Times New Roman" w:hAnsi="Times New Roman"/>
          <w:sz w:val="24"/>
          <w:szCs w:val="24"/>
          <w:lang w:val="lv-LV"/>
        </w:rPr>
      </w:pPr>
    </w:p>
    <w:p w:rsidR="00217B40" w:rsidRPr="00886366" w:rsidP="00217B40" w14:paraId="1DD643E0" w14:textId="77777777">
      <w:pPr>
        <w:spacing w:after="0" w:line="240" w:lineRule="auto"/>
        <w:rPr>
          <w:rFonts w:ascii="Times New Roman" w:hAnsi="Times New Roman"/>
          <w:sz w:val="20"/>
          <w:szCs w:val="20"/>
          <w:lang w:val="lv-LV"/>
        </w:rPr>
      </w:pPr>
      <w:bookmarkStart w:id="4" w:name="_Hlk179523273"/>
      <w:bookmarkStart w:id="5" w:name="_Hlk179523152"/>
      <w:r w:rsidRPr="00886366">
        <w:rPr>
          <w:rFonts w:ascii="Times New Roman" w:hAnsi="Times New Roman"/>
          <w:noProof/>
          <w:sz w:val="20"/>
          <w:szCs w:val="20"/>
          <w:lang w:val="lv-LV"/>
        </w:rPr>
        <w:t>ANTRA LANGE</w:t>
      </w:r>
    </w:p>
    <w:p w:rsidR="00217B40" w:rsidRPr="00886366" w:rsidP="00217B40" w14:paraId="3FF69C60" w14:textId="77777777">
      <w:pPr>
        <w:spacing w:after="0" w:line="240" w:lineRule="auto"/>
        <w:rPr>
          <w:rFonts w:ascii="Times New Roman" w:hAnsi="Times New Roman"/>
          <w:sz w:val="20"/>
          <w:szCs w:val="20"/>
          <w:lang w:val="lv-LV"/>
        </w:rPr>
      </w:pPr>
      <w:bookmarkStart w:id="6" w:name="_Hlk179523407"/>
      <w:bookmarkEnd w:id="4"/>
      <w:r w:rsidRPr="00886366">
        <w:rPr>
          <w:rFonts w:ascii="Times New Roman" w:hAnsi="Times New Roman"/>
          <w:noProof/>
          <w:sz w:val="20"/>
          <w:szCs w:val="20"/>
          <w:lang w:val="lv-LV"/>
        </w:rPr>
        <w:t>67 094 373</w:t>
      </w:r>
    </w:p>
    <w:p w:rsidR="00373D48" w:rsidRPr="00AE5F74" w:rsidP="00217B40" w14:paraId="72D9EAF6" w14:textId="77777777">
      <w:pPr>
        <w:spacing w:after="0" w:line="240" w:lineRule="auto"/>
        <w:rPr>
          <w:rFonts w:ascii="Times New Roman" w:hAnsi="Times New Roman"/>
          <w:sz w:val="24"/>
          <w:szCs w:val="24"/>
          <w:lang w:val="lv-LV"/>
        </w:rPr>
      </w:pPr>
      <w:r w:rsidRPr="00886366">
        <w:rPr>
          <w:rFonts w:ascii="Times New Roman" w:hAnsi="Times New Roman"/>
          <w:noProof/>
          <w:sz w:val="20"/>
          <w:szCs w:val="20"/>
          <w:lang w:val="lv-LV"/>
        </w:rPr>
        <w:t>Antra.Lange@kase.gov.lv</w:t>
      </w:r>
      <w:bookmarkEnd w:id="5"/>
      <w:bookmarkEnd w:id="6"/>
    </w:p>
    <w:sectPr w:rsidSect="00811CBA">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513" w:rsidP="000750FC" w14:paraId="6598C106" w14:textId="77777777">
    <w:pPr>
      <w:pStyle w:val="Header"/>
      <w:rPr>
        <w:rFonts w:ascii="Times New Roman" w:hAnsi="Times New Roman"/>
        <w:sz w:val="20"/>
        <w:szCs w:val="20"/>
        <w:lang w:val="lv-LV"/>
      </w:rPr>
    </w:pPr>
  </w:p>
  <w:p w:rsidR="000750FC" w:rsidP="000750FC" w14:paraId="3031EC15" w14:textId="77777777">
    <w:pPr>
      <w:pStyle w:val="Header"/>
      <w:rPr>
        <w:rFonts w:ascii="Times New Roman" w:hAnsi="Times New Roman"/>
        <w:sz w:val="20"/>
        <w:szCs w:val="20"/>
        <w:lang w:val="lv-LV"/>
      </w:rPr>
    </w:pPr>
  </w:p>
  <w:p w:rsidR="000750FC" w:rsidP="000750FC" w14:paraId="063AA07F" w14:textId="77777777">
    <w:pPr>
      <w:pStyle w:val="Header"/>
      <w:rPr>
        <w:rFonts w:ascii="Times New Roman" w:hAnsi="Times New Roman"/>
        <w:sz w:val="20"/>
        <w:szCs w:val="20"/>
        <w:lang w:val="lv-LV"/>
      </w:rPr>
    </w:pPr>
  </w:p>
  <w:p w:rsidR="000750FC" w:rsidRPr="00C81A61" w:rsidP="000750FC" w14:paraId="122BEAD3" w14:textId="77777777">
    <w:pPr>
      <w:pStyle w:val="Header"/>
      <w:rPr>
        <w:rFonts w:ascii="Times New Roman" w:hAnsi="Times New Roman"/>
        <w:sz w:val="20"/>
        <w:szCs w:val="20"/>
        <w:lang w:val="lv-LV"/>
      </w:rPr>
    </w:pPr>
  </w:p>
  <w:p w:rsidR="00811CBA" w:rsidRPr="00907513" w:rsidP="000750FC" w14:paraId="39DC6D74" w14:textId="77777777">
    <w:pPr>
      <w:pStyle w:val="Header"/>
      <w:rPr>
        <w:rFonts w:ascii="Times New Roman" w:hAnsi="Times New Roman"/>
        <w:lang w:val="lv-LV"/>
      </w:rPr>
    </w:pPr>
  </w:p>
  <w:p w:rsidR="00811CBA" w14:paraId="585FDBF2" w14:textId="77777777">
    <w:pPr>
      <w:pStyle w:val="Header"/>
      <w:rPr>
        <w:rFonts w:ascii="Times New Roman" w:hAnsi="Times New Roman"/>
      </w:rPr>
    </w:pPr>
  </w:p>
  <w:p w:rsidR="00811CBA" w14:paraId="7085C6D3" w14:textId="77777777">
    <w:pPr>
      <w:pStyle w:val="Header"/>
      <w:rPr>
        <w:rFonts w:ascii="Times New Roman" w:hAnsi="Times New Roman"/>
      </w:rPr>
    </w:pPr>
  </w:p>
  <w:p w:rsidR="00811CBA" w14:paraId="57298CC7" w14:textId="77777777">
    <w:pPr>
      <w:pStyle w:val="Header"/>
      <w:rPr>
        <w:rFonts w:ascii="Times New Roman" w:hAnsi="Times New Roman"/>
      </w:rPr>
    </w:pPr>
  </w:p>
  <w:p w:rsidR="00811CBA" w14:paraId="700A9F82" w14:textId="77777777">
    <w:pPr>
      <w:pStyle w:val="Header"/>
      <w:rPr>
        <w:rFonts w:ascii="Times New Roman" w:hAnsi="Times New Roman"/>
      </w:rPr>
    </w:pPr>
  </w:p>
  <w:p w:rsidR="00811CBA" w14:paraId="629629AC" w14:textId="77777777">
    <w:pPr>
      <w:pStyle w:val="Header"/>
      <w:rPr>
        <w:rFonts w:ascii="Times New Roman" w:hAnsi="Times New Roman"/>
      </w:rPr>
    </w:pPr>
  </w:p>
  <w:p w:rsidR="00811CBA" w14:paraId="35C9979B" w14:textId="77777777">
    <w:pPr>
      <w:pStyle w:val="Header"/>
      <w:rPr>
        <w:rFonts w:ascii="Times New Roman" w:hAnsi="Times New Roman"/>
      </w:rPr>
    </w:pPr>
  </w:p>
  <w:p w:rsidR="00811CBA" w14:paraId="11C9F346" w14:textId="77777777">
    <w:pPr>
      <w:pStyle w:val="Header"/>
      <w:rPr>
        <w:rFonts w:ascii="Times New Roman" w:hAnsi="Times New Roman"/>
      </w:rPr>
    </w:pPr>
  </w:p>
  <w:p w:rsidR="00811CBA" w:rsidRPr="00811CBA" w14:paraId="0B866F5E"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1CBA" w:rsidRPr="0015010A" w:rsidP="00811CBA" w14:textId="77777777">
                          <w:pPr>
                            <w:spacing w:after="0" w:line="194" w:lineRule="exact"/>
                            <w:ind w:left="20" w:right="-45"/>
                            <w:jc w:val="center"/>
                            <w:rPr>
                              <w:rFonts w:ascii="Times New Roman" w:eastAsia="Times New Roman" w:hAnsi="Times New Roman"/>
                              <w:sz w:val="17"/>
                              <w:szCs w:val="17"/>
                              <w:lang w:val="lv-LV"/>
                            </w:rPr>
                          </w:pPr>
                          <w:r w:rsidRPr="0015010A">
                            <w:rPr>
                              <w:rFonts w:ascii="Times New Roman" w:eastAsia="Times New Roman" w:hAnsi="Times New Roman"/>
                              <w:color w:val="231F20"/>
                              <w:sz w:val="17"/>
                              <w:szCs w:val="17"/>
                              <w:lang w:val="lv-LV"/>
                            </w:rPr>
                            <w:t>Smilšu iela 1, Rīga, LV</w:t>
                          </w:r>
                          <w:r w:rsidRPr="0015010A" w:rsidR="009D7EC3">
                            <w:rPr>
                              <w:rFonts w:ascii="Times New Roman" w:eastAsia="Times New Roman" w:hAnsi="Times New Roman"/>
                              <w:color w:val="231F20"/>
                              <w:sz w:val="17"/>
                              <w:szCs w:val="17"/>
                              <w:lang w:val="lv-LV"/>
                            </w:rPr>
                            <w:t>-</w:t>
                          </w:r>
                          <w:r w:rsidRPr="0015010A" w:rsidR="009D7EC3">
                            <w:rPr>
                              <w:rFonts w:ascii="Times New Roman" w:eastAsia="Times New Roman" w:hAnsi="Times New Roman"/>
                              <w:color w:val="231F20"/>
                              <w:sz w:val="17"/>
                              <w:szCs w:val="17"/>
                              <w:lang w:val="lv-LV"/>
                            </w:rPr>
                            <w:softHyphen/>
                          </w:r>
                          <w:r w:rsidRPr="0015010A" w:rsidR="009D7EC3">
                            <w:rPr>
                              <w:rFonts w:ascii="Times New Roman" w:eastAsia="Times New Roman" w:hAnsi="Times New Roman"/>
                              <w:color w:val="231F20"/>
                              <w:sz w:val="17"/>
                              <w:szCs w:val="17"/>
                              <w:lang w:val="lv-LV"/>
                            </w:rPr>
                            <w:softHyphen/>
                          </w:r>
                          <w:r w:rsidRPr="0015010A">
                            <w:rPr>
                              <w:rFonts w:ascii="Times New Roman" w:eastAsia="Times New Roman" w:hAnsi="Times New Roman"/>
                              <w:color w:val="231F20"/>
                              <w:sz w:val="17"/>
                              <w:szCs w:val="17"/>
                              <w:lang w:val="lv-LV"/>
                            </w:rPr>
                            <w:t>1919, tālr. 670942</w:t>
                          </w:r>
                          <w:r w:rsidR="00FA03B3">
                            <w:rPr>
                              <w:rFonts w:ascii="Times New Roman" w:eastAsia="Times New Roman" w:hAnsi="Times New Roman"/>
                              <w:color w:val="231F20"/>
                              <w:sz w:val="17"/>
                              <w:szCs w:val="17"/>
                              <w:lang w:val="lv-LV"/>
                            </w:rPr>
                            <w:t>22, e-pasts pasts</w:t>
                          </w:r>
                          <w:r w:rsidRPr="0015010A">
                            <w:rPr>
                              <w:rFonts w:ascii="Times New Roman" w:eastAsia="Times New Roman" w:hAnsi="Times New Roman"/>
                              <w:color w:val="231F20"/>
                              <w:sz w:val="17"/>
                              <w:szCs w:val="17"/>
                              <w:lang w:val="lv-LV"/>
                            </w:rPr>
                            <w:t>@kase.gov.lv, www.kase.gov.lv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811CBA" w:rsidRPr="0015010A" w:rsidP="00811CBA" w14:paraId="5955FCCD" w14:textId="77777777">
                    <w:pPr>
                      <w:spacing w:after="0" w:line="194" w:lineRule="exact"/>
                      <w:ind w:left="20" w:right="-45"/>
                      <w:jc w:val="center"/>
                      <w:rPr>
                        <w:rFonts w:ascii="Times New Roman" w:eastAsia="Times New Roman" w:hAnsi="Times New Roman"/>
                        <w:sz w:val="17"/>
                        <w:szCs w:val="17"/>
                        <w:lang w:val="lv-LV"/>
                      </w:rPr>
                    </w:pPr>
                    <w:r w:rsidRPr="0015010A">
                      <w:rPr>
                        <w:rFonts w:ascii="Times New Roman" w:eastAsia="Times New Roman" w:hAnsi="Times New Roman"/>
                        <w:color w:val="231F20"/>
                        <w:sz w:val="17"/>
                        <w:szCs w:val="17"/>
                        <w:lang w:val="lv-LV"/>
                      </w:rPr>
                      <w:t>Smilšu iela 1, Rīga, LV</w:t>
                    </w:r>
                    <w:r w:rsidRPr="0015010A" w:rsidR="009D7EC3">
                      <w:rPr>
                        <w:rFonts w:ascii="Times New Roman" w:eastAsia="Times New Roman" w:hAnsi="Times New Roman"/>
                        <w:color w:val="231F20"/>
                        <w:sz w:val="17"/>
                        <w:szCs w:val="17"/>
                        <w:lang w:val="lv-LV"/>
                      </w:rPr>
                      <w:t>-</w:t>
                    </w:r>
                    <w:r w:rsidRPr="0015010A" w:rsidR="009D7EC3">
                      <w:rPr>
                        <w:rFonts w:ascii="Times New Roman" w:eastAsia="Times New Roman" w:hAnsi="Times New Roman"/>
                        <w:color w:val="231F20"/>
                        <w:sz w:val="17"/>
                        <w:szCs w:val="17"/>
                        <w:lang w:val="lv-LV"/>
                      </w:rPr>
                      <w:softHyphen/>
                    </w:r>
                    <w:r w:rsidRPr="0015010A" w:rsidR="009D7EC3">
                      <w:rPr>
                        <w:rFonts w:ascii="Times New Roman" w:eastAsia="Times New Roman" w:hAnsi="Times New Roman"/>
                        <w:color w:val="231F20"/>
                        <w:sz w:val="17"/>
                        <w:szCs w:val="17"/>
                        <w:lang w:val="lv-LV"/>
                      </w:rPr>
                      <w:softHyphen/>
                    </w:r>
                    <w:r w:rsidRPr="0015010A">
                      <w:rPr>
                        <w:rFonts w:ascii="Times New Roman" w:eastAsia="Times New Roman" w:hAnsi="Times New Roman"/>
                        <w:color w:val="231F20"/>
                        <w:sz w:val="17"/>
                        <w:szCs w:val="17"/>
                        <w:lang w:val="lv-LV"/>
                      </w:rPr>
                      <w:t>1919, tālr. 670942</w:t>
                    </w:r>
                    <w:r w:rsidR="00FA03B3">
                      <w:rPr>
                        <w:rFonts w:ascii="Times New Roman" w:eastAsia="Times New Roman" w:hAnsi="Times New Roman"/>
                        <w:color w:val="231F20"/>
                        <w:sz w:val="17"/>
                        <w:szCs w:val="17"/>
                        <w:lang w:val="lv-LV"/>
                      </w:rPr>
                      <w:t>22, e-pasts pasts</w:t>
                    </w:r>
                    <w:r w:rsidRPr="0015010A">
                      <w:rPr>
                        <w:rFonts w:ascii="Times New Roman" w:eastAsia="Times New Roman" w:hAnsi="Times New Roman"/>
                        <w:color w:val="231F20"/>
                        <w:sz w:val="17"/>
                        <w:szCs w:val="17"/>
                        <w:lang w:val="lv-LV"/>
                      </w:rPr>
                      <w:t>@kase.gov.lv, www.kase.gov.lv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D0048F"/>
    <w:multiLevelType w:val="multilevel"/>
    <w:tmpl w:val="1FB00CA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33DB25FC"/>
    <w:multiLevelType w:val="multilevel"/>
    <w:tmpl w:val="28D6F7BE"/>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9C87B6E"/>
    <w:multiLevelType w:val="multilevel"/>
    <w:tmpl w:val="1132F00E"/>
    <w:lvl w:ilvl="0">
      <w:start w:val="4"/>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4" w15:restartNumberingAfterBreak="0">
    <w:nsid w:val="3D8F4C37"/>
    <w:multiLevelType w:val="multilevel"/>
    <w:tmpl w:val="26A4C55C"/>
    <w:lvl w:ilvl="0">
      <w:start w:val="12"/>
      <w:numFmt w:val="decimal"/>
      <w:lvlText w:val="%1."/>
      <w:lvlJc w:val="left"/>
      <w:pPr>
        <w:ind w:left="480" w:hanging="480"/>
      </w:pPr>
      <w:rPr>
        <w:color w:val="000000"/>
      </w:rPr>
    </w:lvl>
    <w:lvl w:ilvl="1">
      <w:start w:val="1"/>
      <w:numFmt w:val="decimal"/>
      <w:lvlText w:val="%1.%2."/>
      <w:lvlJc w:val="left"/>
      <w:pPr>
        <w:ind w:left="906" w:hanging="480"/>
      </w:pPr>
      <w:rPr>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15" w15:restartNumberingAfterBreak="0">
    <w:nsid w:val="467941FD"/>
    <w:multiLevelType w:val="multilevel"/>
    <w:tmpl w:val="A748FF6C"/>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50E34A47"/>
    <w:multiLevelType w:val="multilevel"/>
    <w:tmpl w:val="89BC8CE6"/>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5788511C"/>
    <w:multiLevelType w:val="multilevel"/>
    <w:tmpl w:val="BC58277C"/>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5DD86356"/>
    <w:multiLevelType w:val="multilevel"/>
    <w:tmpl w:val="6F92C318"/>
    <w:lvl w:ilvl="0">
      <w:start w:val="12"/>
      <w:numFmt w:val="decimal"/>
      <w:lvlText w:val="%1"/>
      <w:lvlJc w:val="left"/>
      <w:pPr>
        <w:ind w:left="420" w:hanging="420"/>
      </w:pPr>
      <w:rPr>
        <w:color w:val="000000"/>
      </w:rPr>
    </w:lvl>
    <w:lvl w:ilvl="1">
      <w:start w:val="2"/>
      <w:numFmt w:val="decimal"/>
      <w:lvlText w:val="%1.%2"/>
      <w:lvlJc w:val="left"/>
      <w:pPr>
        <w:ind w:left="846" w:hanging="420"/>
      </w:pPr>
      <w:rPr>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19" w15:restartNumberingAfterBreak="0">
    <w:nsid w:val="5E81495E"/>
    <w:multiLevelType w:val="multilevel"/>
    <w:tmpl w:val="A8705966"/>
    <w:lvl w:ilvl="0">
      <w:start w:val="6"/>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0" w15:restartNumberingAfterBreak="0">
    <w:nsid w:val="66F50BE3"/>
    <w:multiLevelType w:val="multilevel"/>
    <w:tmpl w:val="65562576"/>
    <w:lvl w:ilvl="0">
      <w:start w:val="7"/>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1" w15:restartNumberingAfterBreak="0">
    <w:nsid w:val="77B943E6"/>
    <w:multiLevelType w:val="multilevel"/>
    <w:tmpl w:val="3F5885E8"/>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16cid:durableId="1367606521">
    <w:abstractNumId w:val="10"/>
  </w:num>
  <w:num w:numId="2" w16cid:durableId="1211459099">
    <w:abstractNumId w:val="8"/>
  </w:num>
  <w:num w:numId="3" w16cid:durableId="2010599249">
    <w:abstractNumId w:val="7"/>
  </w:num>
  <w:num w:numId="4" w16cid:durableId="1382943452">
    <w:abstractNumId w:val="6"/>
  </w:num>
  <w:num w:numId="5" w16cid:durableId="1235312726">
    <w:abstractNumId w:val="5"/>
  </w:num>
  <w:num w:numId="6" w16cid:durableId="764885491">
    <w:abstractNumId w:val="9"/>
  </w:num>
  <w:num w:numId="7" w16cid:durableId="1053846280">
    <w:abstractNumId w:val="4"/>
  </w:num>
  <w:num w:numId="8" w16cid:durableId="159082584">
    <w:abstractNumId w:val="3"/>
  </w:num>
  <w:num w:numId="9" w16cid:durableId="2064787847">
    <w:abstractNumId w:val="2"/>
  </w:num>
  <w:num w:numId="10" w16cid:durableId="304312607">
    <w:abstractNumId w:val="1"/>
  </w:num>
  <w:num w:numId="11" w16cid:durableId="1071806853">
    <w:abstractNumId w:val="0"/>
  </w:num>
  <w:num w:numId="12" w16cid:durableId="2027948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205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85654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88982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534409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4711156">
    <w:abstractNumId w:val="14"/>
  </w:num>
  <w:num w:numId="18" w16cid:durableId="1905068040">
    <w:abstractNumId w:val="1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187111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6394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6453939">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56845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25446"/>
    <w:rsid w:val="00030349"/>
    <w:rsid w:val="000565DB"/>
    <w:rsid w:val="000750FC"/>
    <w:rsid w:val="000818B6"/>
    <w:rsid w:val="000D4DCD"/>
    <w:rsid w:val="000E6FFF"/>
    <w:rsid w:val="00124173"/>
    <w:rsid w:val="00146962"/>
    <w:rsid w:val="0015010A"/>
    <w:rsid w:val="00217B40"/>
    <w:rsid w:val="00253625"/>
    <w:rsid w:val="00275B9E"/>
    <w:rsid w:val="002E1474"/>
    <w:rsid w:val="00373D48"/>
    <w:rsid w:val="003C5C0F"/>
    <w:rsid w:val="00486DEC"/>
    <w:rsid w:val="0049644F"/>
    <w:rsid w:val="004C6F78"/>
    <w:rsid w:val="004D520B"/>
    <w:rsid w:val="00533A17"/>
    <w:rsid w:val="00535564"/>
    <w:rsid w:val="00551398"/>
    <w:rsid w:val="00552CE6"/>
    <w:rsid w:val="0057206A"/>
    <w:rsid w:val="00583E71"/>
    <w:rsid w:val="00596C7D"/>
    <w:rsid w:val="006375A0"/>
    <w:rsid w:val="00663C3A"/>
    <w:rsid w:val="00695F9E"/>
    <w:rsid w:val="00733011"/>
    <w:rsid w:val="007B3BA5"/>
    <w:rsid w:val="007E4D1F"/>
    <w:rsid w:val="007F48A3"/>
    <w:rsid w:val="007F7469"/>
    <w:rsid w:val="00811CBA"/>
    <w:rsid w:val="008134ED"/>
    <w:rsid w:val="00815277"/>
    <w:rsid w:val="00820C64"/>
    <w:rsid w:val="008346DB"/>
    <w:rsid w:val="008560BA"/>
    <w:rsid w:val="00876C21"/>
    <w:rsid w:val="00886366"/>
    <w:rsid w:val="008C22C3"/>
    <w:rsid w:val="008D2ECC"/>
    <w:rsid w:val="00907513"/>
    <w:rsid w:val="00916A0C"/>
    <w:rsid w:val="00955BD6"/>
    <w:rsid w:val="00960C5E"/>
    <w:rsid w:val="009673C3"/>
    <w:rsid w:val="009D7EC3"/>
    <w:rsid w:val="009E2B60"/>
    <w:rsid w:val="00A764D2"/>
    <w:rsid w:val="00A83D4D"/>
    <w:rsid w:val="00A95BEA"/>
    <w:rsid w:val="00AE5F74"/>
    <w:rsid w:val="00B12C26"/>
    <w:rsid w:val="00B433B5"/>
    <w:rsid w:val="00B47B8E"/>
    <w:rsid w:val="00BE29E4"/>
    <w:rsid w:val="00C266A6"/>
    <w:rsid w:val="00C47F57"/>
    <w:rsid w:val="00C81A61"/>
    <w:rsid w:val="00CC2672"/>
    <w:rsid w:val="00D21FA6"/>
    <w:rsid w:val="00D73036"/>
    <w:rsid w:val="00D84AAE"/>
    <w:rsid w:val="00E31AA8"/>
    <w:rsid w:val="00E365CE"/>
    <w:rsid w:val="00E7353C"/>
    <w:rsid w:val="00E742AC"/>
    <w:rsid w:val="00E74F83"/>
    <w:rsid w:val="00E81B96"/>
    <w:rsid w:val="00E91065"/>
    <w:rsid w:val="00F146B6"/>
    <w:rsid w:val="00F23CD5"/>
    <w:rsid w:val="00F55A44"/>
    <w:rsid w:val="00F86934"/>
    <w:rsid w:val="00F974AC"/>
    <w:rsid w:val="00FA03B3"/>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449002F6"/>
  <w15:docId w15:val="{8932B8BD-4AD4-4BB9-92BD-C8595FF0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D84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ase@kase.gov.l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6650</Words>
  <Characters>3792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Antra Lange</cp:lastModifiedBy>
  <cp:revision>33</cp:revision>
  <cp:lastPrinted>2014-11-27T12:59:00Z</cp:lastPrinted>
  <dcterms:created xsi:type="dcterms:W3CDTF">2014-11-21T08:01:00Z</dcterms:created>
  <dcterms:modified xsi:type="dcterms:W3CDTF">2026-01-22T14:11:00Z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