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D9F8" w14:textId="2854A4A7" w:rsidR="0007485E" w:rsidRDefault="00D02D73" w:rsidP="002D3CC9">
      <w:pPr>
        <w:spacing w:after="0" w:line="240" w:lineRule="auto"/>
        <w:jc w:val="center"/>
        <w:rPr>
          <w:b/>
          <w:bCs/>
        </w:rPr>
      </w:pPr>
      <w:r w:rsidRPr="002D3CC9">
        <w:rPr>
          <w:b/>
          <w:bCs/>
        </w:rPr>
        <w:t>Rezultātu un to rezultatīvo rādītāju izpildes analīzes</w:t>
      </w:r>
      <w:r w:rsidRPr="00D02D73">
        <w:rPr>
          <w:b/>
          <w:bCs/>
        </w:rPr>
        <w:t xml:space="preserve"> </w:t>
      </w:r>
      <w:r w:rsidR="001A59B9" w:rsidRPr="0007485E">
        <w:rPr>
          <w:b/>
          <w:bCs/>
        </w:rPr>
        <w:t>aizpildīšanas kārtība</w:t>
      </w:r>
    </w:p>
    <w:p w14:paraId="73F6E9DC" w14:textId="77777777" w:rsidR="00C04E4E" w:rsidRPr="0007485E" w:rsidRDefault="00C04E4E" w:rsidP="00C04E4E">
      <w:pPr>
        <w:spacing w:after="0" w:line="240" w:lineRule="auto"/>
        <w:rPr>
          <w:b/>
          <w:bCs/>
        </w:rPr>
      </w:pPr>
    </w:p>
    <w:p w14:paraId="4191025C" w14:textId="2BE7CF06" w:rsidR="000A1028" w:rsidRDefault="001A59B9" w:rsidP="00C04E4E">
      <w:pPr>
        <w:pStyle w:val="ListParagraph"/>
        <w:numPr>
          <w:ilvl w:val="0"/>
          <w:numId w:val="1"/>
        </w:numPr>
        <w:spacing w:after="0" w:line="240" w:lineRule="auto"/>
        <w:ind w:left="426"/>
      </w:pPr>
      <w:r>
        <w:t xml:space="preserve">Gan </w:t>
      </w:r>
      <w:r w:rsidR="003E5675">
        <w:t>resora</w:t>
      </w:r>
      <w:r>
        <w:t>, gan iestādes līmenī 4.pielikumā tiek ielādēta Finanšu ministrijas sagatavotā informācija par tiem rādītājiem, par kuriem jāsniedz izpildes skaidrojums.</w:t>
      </w:r>
      <w:r w:rsidR="000A1028">
        <w:t xml:space="preserve"> </w:t>
      </w:r>
    </w:p>
    <w:p w14:paraId="10D13786" w14:textId="4904EE50" w:rsidR="001A59B9" w:rsidRDefault="000A1028" w:rsidP="00C04E4E">
      <w:pPr>
        <w:pStyle w:val="ListParagraph"/>
        <w:numPr>
          <w:ilvl w:val="0"/>
          <w:numId w:val="1"/>
        </w:numPr>
        <w:spacing w:after="0" w:line="240" w:lineRule="auto"/>
        <w:ind w:left="426"/>
      </w:pPr>
      <w:r>
        <w:t xml:space="preserve">Ja </w:t>
      </w:r>
      <w:r w:rsidR="003E5675">
        <w:t>resoram</w:t>
      </w:r>
      <w:r>
        <w:t xml:space="preserve"> ir padotības iestādes, tām pieejami tie paši rezultatīvie rādītāji kas </w:t>
      </w:r>
      <w:r w:rsidR="003E5675">
        <w:t>resoram</w:t>
      </w:r>
      <w:r>
        <w:t>. Iestāde norāda izpildi tiem rādītājiem, kas uz viņu attiecas.</w:t>
      </w:r>
    </w:p>
    <w:p w14:paraId="309F13AB" w14:textId="627E936D" w:rsidR="000A1028" w:rsidRDefault="001A59B9" w:rsidP="00C04E4E">
      <w:pPr>
        <w:pStyle w:val="ListParagraph"/>
        <w:numPr>
          <w:ilvl w:val="0"/>
          <w:numId w:val="1"/>
        </w:numPr>
        <w:spacing w:after="0" w:line="240" w:lineRule="auto"/>
        <w:ind w:left="426"/>
      </w:pPr>
      <w:r>
        <w:t>Informāciju, kura parādās pelēkā krāsā, rediģēt nevar. Ja nepieciešami labojumi pelēkajās šūnās</w:t>
      </w:r>
      <w:r w:rsidR="003A1358">
        <w:t>,</w:t>
      </w:r>
      <w:r>
        <w:t xml:space="preserve"> </w:t>
      </w:r>
      <w:r w:rsidR="003A1358">
        <w:t>lūdzam</w:t>
      </w:r>
      <w:r>
        <w:t xml:space="preserve"> sazināties ar F</w:t>
      </w:r>
      <w:r w:rsidR="003A1358">
        <w:t>inanšu ministriju</w:t>
      </w:r>
      <w:r>
        <w:t>.</w:t>
      </w:r>
    </w:p>
    <w:p w14:paraId="4568B9BC" w14:textId="6F3EEDDA" w:rsidR="001A59B9" w:rsidRDefault="001A59B9" w:rsidP="00C04E4E">
      <w:pPr>
        <w:pStyle w:val="ListParagraph"/>
        <w:numPr>
          <w:ilvl w:val="0"/>
          <w:numId w:val="1"/>
        </w:numPr>
        <w:spacing w:after="0" w:line="240" w:lineRule="auto"/>
        <w:ind w:left="426"/>
      </w:pPr>
      <w:r>
        <w:t>Informācijas ievade notiek baltajās šūnās.</w:t>
      </w:r>
    </w:p>
    <w:p w14:paraId="532F04F3" w14:textId="67151895" w:rsidR="001A59B9" w:rsidRDefault="003E5675" w:rsidP="00C04E4E">
      <w:pPr>
        <w:pStyle w:val="ListParagraph"/>
        <w:numPr>
          <w:ilvl w:val="0"/>
          <w:numId w:val="1"/>
        </w:numPr>
        <w:spacing w:after="0" w:line="240" w:lineRule="auto"/>
        <w:ind w:left="426"/>
      </w:pPr>
      <w:r>
        <w:t>Resors</w:t>
      </w:r>
      <w:r w:rsidR="000A1028">
        <w:t>, kura</w:t>
      </w:r>
      <w:r>
        <w:t>m</w:t>
      </w:r>
      <w:r w:rsidR="000A1028">
        <w:t xml:space="preserve"> ir padotības iestādes,</w:t>
      </w:r>
      <w:r w:rsidR="001A59B9">
        <w:t xml:space="preserve"> var izvēlēties divus informācijas ievades variantus:</w:t>
      </w:r>
    </w:p>
    <w:p w14:paraId="496D8DFB" w14:textId="77777777" w:rsidR="00301EAC" w:rsidRDefault="00301EAC" w:rsidP="003A1358">
      <w:pPr>
        <w:pStyle w:val="ListParagraph"/>
        <w:spacing w:after="0" w:line="240" w:lineRule="auto"/>
        <w:ind w:left="426"/>
      </w:pPr>
    </w:p>
    <w:p w14:paraId="04F31C64" w14:textId="77777777" w:rsidR="003F535D" w:rsidRDefault="001A59B9" w:rsidP="00C04E4E">
      <w:pPr>
        <w:spacing w:after="0" w:line="240" w:lineRule="auto"/>
        <w:ind w:left="426"/>
      </w:pPr>
      <w:r w:rsidRPr="000A1028">
        <w:rPr>
          <w:b/>
          <w:bCs/>
          <w:i/>
          <w:iCs/>
          <w:u w:val="single"/>
        </w:rPr>
        <w:t>1.variants</w:t>
      </w:r>
      <w:r>
        <w:t xml:space="preserve">: katra padotības iestāde ievada informāciju par attiecīgajiem </w:t>
      </w:r>
      <w:r w:rsidR="000A1028">
        <w:t xml:space="preserve">rezultatīvajiem </w:t>
      </w:r>
      <w:r>
        <w:t xml:space="preserve">rādītājiem. </w:t>
      </w:r>
    </w:p>
    <w:p w14:paraId="545C4D03" w14:textId="0DFE426E" w:rsidR="003F535D" w:rsidRDefault="003F535D" w:rsidP="00C04E4E">
      <w:pPr>
        <w:spacing w:after="0" w:line="240" w:lineRule="auto"/>
        <w:ind w:left="426"/>
      </w:pPr>
      <w:r>
        <w:rPr>
          <w:noProof/>
        </w:rPr>
        <w:drawing>
          <wp:inline distT="0" distB="0" distL="0" distR="0" wp14:anchorId="6E472A69" wp14:editId="3B32DDAE">
            <wp:extent cx="2727132" cy="1494053"/>
            <wp:effectExtent l="0" t="0" r="0" b="0"/>
            <wp:docPr id="9734992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275" cy="150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ED4F3" w14:textId="37DC6852" w:rsidR="001A59B9" w:rsidRDefault="001A59B9" w:rsidP="00C04E4E">
      <w:pPr>
        <w:spacing w:after="0" w:line="240" w:lineRule="auto"/>
        <w:ind w:left="426"/>
      </w:pPr>
      <w:r>
        <w:t>Kad iestāde</w:t>
      </w:r>
      <w:r w:rsidR="000A1028">
        <w:t>s</w:t>
      </w:r>
      <w:r>
        <w:t xml:space="preserve"> ir ievadīju</w:t>
      </w:r>
      <w:r w:rsidR="000A1028">
        <w:t>šas</w:t>
      </w:r>
      <w:r>
        <w:t xml:space="preserve"> </w:t>
      </w:r>
      <w:r w:rsidR="00AE0DC5">
        <w:t xml:space="preserve">un parakstījušas </w:t>
      </w:r>
      <w:r>
        <w:t>informāciju</w:t>
      </w:r>
      <w:r w:rsidR="000A1028">
        <w:t xml:space="preserve">, </w:t>
      </w:r>
      <w:r w:rsidR="003E5675">
        <w:t>resors</w:t>
      </w:r>
      <w:r w:rsidR="000A1028">
        <w:t xml:space="preserve"> veic rādītāju </w:t>
      </w:r>
      <w:r w:rsidR="00EF337D">
        <w:t>“</w:t>
      </w:r>
      <w:r w:rsidR="000A1028">
        <w:t xml:space="preserve">summēšanu”, izmantojot pogu </w:t>
      </w:r>
      <w:r w:rsidR="000A1028" w:rsidRPr="000A1028">
        <w:rPr>
          <w:noProof/>
        </w:rPr>
        <w:drawing>
          <wp:inline distT="0" distB="0" distL="0" distR="0" wp14:anchorId="0350615D" wp14:editId="3DB3F04C">
            <wp:extent cx="2314898" cy="219106"/>
            <wp:effectExtent l="0" t="0" r="0" b="9525"/>
            <wp:docPr id="125191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1052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D5920" w14:textId="7ADB7B4A" w:rsidR="000A1028" w:rsidRDefault="000A1028" w:rsidP="00C04E4E">
      <w:pPr>
        <w:spacing w:after="0" w:line="240" w:lineRule="auto"/>
        <w:ind w:left="426"/>
      </w:pPr>
      <w:r w:rsidRPr="000A1028">
        <w:t xml:space="preserve">Pēc informācijas “summēšanas”, nepieciešamības gadījumā </w:t>
      </w:r>
      <w:r w:rsidR="003E5675">
        <w:t>resors</w:t>
      </w:r>
      <w:r w:rsidRPr="000A1028">
        <w:t xml:space="preserve"> veic korekcijas ievadītajā informācijā.</w:t>
      </w:r>
    </w:p>
    <w:p w14:paraId="4705F951" w14:textId="68A42D0D" w:rsidR="003F535D" w:rsidRPr="000A1028" w:rsidRDefault="003F535D" w:rsidP="00C04E4E">
      <w:pPr>
        <w:spacing w:after="0" w:line="240" w:lineRule="auto"/>
        <w:ind w:left="426"/>
      </w:pPr>
    </w:p>
    <w:p w14:paraId="5B713C43" w14:textId="75C62AAE" w:rsidR="000A1028" w:rsidRDefault="00F33AED" w:rsidP="00C04E4E">
      <w:pPr>
        <w:spacing w:after="0" w:line="240" w:lineRule="auto"/>
        <w:ind w:left="426"/>
      </w:pPr>
      <w:r w:rsidRPr="00F33AED">
        <w:rPr>
          <w:b/>
          <w:bCs/>
          <w:color w:val="EE0000"/>
          <w:sz w:val="48"/>
          <w:szCs w:val="48"/>
        </w:rPr>
        <w:t>!</w:t>
      </w:r>
      <w:r w:rsidRPr="00F33AED">
        <w:t xml:space="preserve"> </w:t>
      </w:r>
      <w:r w:rsidR="000A1028">
        <w:rPr>
          <w:u w:val="single"/>
        </w:rPr>
        <w:t>Piezīme</w:t>
      </w:r>
      <w:r w:rsidR="000A1028" w:rsidRPr="000A1028">
        <w:t>:</w:t>
      </w:r>
      <w:r w:rsidR="000A1028">
        <w:t xml:space="preserve"> ja ir veiktas korekcijas summētajā informācij</w:t>
      </w:r>
      <w:r w:rsidR="00F35B26">
        <w:t>ā</w:t>
      </w:r>
      <w:r w:rsidR="000A1028">
        <w:t xml:space="preserve">, veicot atkārtotu summēšanu no </w:t>
      </w:r>
      <w:proofErr w:type="spellStart"/>
      <w:r w:rsidR="000A1028">
        <w:t>apakšiestādēm</w:t>
      </w:r>
      <w:proofErr w:type="spellEnd"/>
      <w:r w:rsidR="000A1028">
        <w:t>, informācija tiks pārrakstīta un korekcijas būs nepieciešams veikt no jauna</w:t>
      </w:r>
      <w:r w:rsidR="00F35B26">
        <w:t>!</w:t>
      </w:r>
    </w:p>
    <w:p w14:paraId="2387A605" w14:textId="77777777" w:rsidR="00CA3BDE" w:rsidRDefault="00CA3BDE" w:rsidP="00C04E4E">
      <w:pPr>
        <w:spacing w:after="0" w:line="240" w:lineRule="auto"/>
        <w:ind w:left="426"/>
      </w:pPr>
    </w:p>
    <w:p w14:paraId="774B60E7" w14:textId="1DF2D22F" w:rsidR="001A59B9" w:rsidRDefault="001A59B9" w:rsidP="00C04E4E">
      <w:pPr>
        <w:spacing w:after="0" w:line="240" w:lineRule="auto"/>
        <w:ind w:left="426"/>
      </w:pPr>
      <w:r w:rsidRPr="000A1028">
        <w:rPr>
          <w:b/>
          <w:bCs/>
          <w:i/>
          <w:iCs/>
          <w:u w:val="single"/>
        </w:rPr>
        <w:t>2.variants</w:t>
      </w:r>
      <w:r>
        <w:t xml:space="preserve">: informācijas ievadi </w:t>
      </w:r>
      <w:r w:rsidR="000A1028">
        <w:t>var veikt tikai</w:t>
      </w:r>
      <w:r>
        <w:t xml:space="preserve"> </w:t>
      </w:r>
      <w:r w:rsidR="003E5675">
        <w:t>resors</w:t>
      </w:r>
      <w:r w:rsidR="000A1028">
        <w:t>, neveicot datu apkopošanu no padotības iestādēm.</w:t>
      </w:r>
    </w:p>
    <w:p w14:paraId="6F5E63C8" w14:textId="6CBAAA8C" w:rsidR="003F535D" w:rsidRDefault="003F535D" w:rsidP="00C04E4E">
      <w:pPr>
        <w:spacing w:after="0" w:line="240" w:lineRule="auto"/>
        <w:ind w:left="426"/>
      </w:pPr>
      <w:r>
        <w:rPr>
          <w:noProof/>
        </w:rPr>
        <w:drawing>
          <wp:inline distT="0" distB="0" distL="0" distR="0" wp14:anchorId="5209EBD1" wp14:editId="5FD0DDF5">
            <wp:extent cx="3013600" cy="1645605"/>
            <wp:effectExtent l="0" t="0" r="0" b="0"/>
            <wp:docPr id="896550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168" cy="164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70736" w14:textId="77777777" w:rsidR="003F535D" w:rsidRDefault="003F535D" w:rsidP="00C04E4E">
      <w:pPr>
        <w:spacing w:after="0" w:line="240" w:lineRule="auto"/>
        <w:ind w:left="426"/>
      </w:pPr>
    </w:p>
    <w:p w14:paraId="0CC80119" w14:textId="33F397C4" w:rsidR="00CA3BDE" w:rsidRDefault="000A1028" w:rsidP="00C04E4E">
      <w:pPr>
        <w:spacing w:after="0" w:line="240" w:lineRule="auto"/>
        <w:ind w:left="426"/>
      </w:pPr>
      <w:r>
        <w:t xml:space="preserve">6. </w:t>
      </w:r>
      <w:r w:rsidR="003F535D">
        <w:t>Ērtākai</w:t>
      </w:r>
      <w:r>
        <w:t xml:space="preserve"> informācijas ievadei, var izmantot filtrus. Filtru izvēlni apstiprina ar taustiņu [</w:t>
      </w:r>
      <w:proofErr w:type="spellStart"/>
      <w:r>
        <w:t>Enter</w:t>
      </w:r>
      <w:proofErr w:type="spellEnd"/>
      <w:r>
        <w:t>]</w:t>
      </w:r>
    </w:p>
    <w:p w14:paraId="64BABB90" w14:textId="7BFC8D4A" w:rsidR="003F535D" w:rsidRDefault="003F535D" w:rsidP="00C04E4E">
      <w:pPr>
        <w:spacing w:after="0" w:line="240" w:lineRule="auto"/>
        <w:ind w:left="720"/>
      </w:pPr>
      <w:r>
        <w:rPr>
          <w:noProof/>
        </w:rPr>
        <w:drawing>
          <wp:inline distT="0" distB="0" distL="0" distR="0" wp14:anchorId="4B21EE6F" wp14:editId="015A4C2A">
            <wp:extent cx="4126782" cy="1755200"/>
            <wp:effectExtent l="0" t="0" r="7620" b="0"/>
            <wp:docPr id="1657929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374" cy="176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11067" w14:textId="77777777" w:rsidR="001A59B9" w:rsidRDefault="001A59B9" w:rsidP="00C04E4E">
      <w:pPr>
        <w:spacing w:after="0" w:line="240" w:lineRule="auto"/>
        <w:ind w:left="720"/>
      </w:pPr>
    </w:p>
    <w:p w14:paraId="6239AF2F" w14:textId="4343DDC7" w:rsidR="001A59B9" w:rsidRPr="001A59B9" w:rsidRDefault="001A59B9" w:rsidP="00C04E4E">
      <w:pPr>
        <w:spacing w:after="0" w:line="240" w:lineRule="auto"/>
        <w:rPr>
          <w:b/>
          <w:bCs/>
          <w:u w:val="single"/>
        </w:rPr>
      </w:pPr>
      <w:r w:rsidRPr="001A59B9">
        <w:rPr>
          <w:b/>
          <w:bCs/>
          <w:u w:val="single"/>
        </w:rPr>
        <w:t>Svarīgi:</w:t>
      </w:r>
    </w:p>
    <w:p w14:paraId="1A6842DD" w14:textId="1EAF7820" w:rsidR="001A59B9" w:rsidRDefault="00F35B26" w:rsidP="00C04E4E">
      <w:pPr>
        <w:spacing w:after="0" w:line="240" w:lineRule="auto"/>
      </w:pPr>
      <w:r>
        <w:t>P</w:t>
      </w:r>
      <w:r w:rsidR="001A59B9">
        <w:t xml:space="preserve">ēdējās divas veidlapas ailes aizpilda tikai rādītāja veidam </w:t>
      </w:r>
      <w:proofErr w:type="spellStart"/>
      <w:r w:rsidR="001A59B9">
        <w:t>PPIzd</w:t>
      </w:r>
      <w:proofErr w:type="spellEnd"/>
      <w:r>
        <w:t>! Ja izvēlēts cits rādītāja veids, pēdējās ailes neaizpilda.</w:t>
      </w:r>
    </w:p>
    <w:p w14:paraId="3E5BBC1E" w14:textId="0A8D58C5" w:rsidR="001A59B9" w:rsidRDefault="00F35B26" w:rsidP="00C04E4E">
      <w:pPr>
        <w:spacing w:after="0" w:line="240" w:lineRule="auto"/>
        <w:ind w:left="720"/>
      </w:pPr>
      <w:r>
        <w:rPr>
          <w:noProof/>
        </w:rPr>
        <w:drawing>
          <wp:inline distT="0" distB="0" distL="0" distR="0" wp14:anchorId="5A3D58CF" wp14:editId="565F777F">
            <wp:extent cx="4134485" cy="944260"/>
            <wp:effectExtent l="0" t="0" r="0" b="8255"/>
            <wp:docPr id="10391427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347" cy="9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98594" w14:textId="77777777" w:rsidR="001A59B9" w:rsidRDefault="001A59B9" w:rsidP="00995FC2">
      <w:pPr>
        <w:spacing w:after="120" w:line="240" w:lineRule="auto"/>
        <w:ind w:left="720"/>
      </w:pPr>
    </w:p>
    <w:p w14:paraId="680A2B8E" w14:textId="5C7869A0" w:rsidR="005716AE" w:rsidRPr="003E5675" w:rsidRDefault="00503EBC" w:rsidP="0007485E">
      <w:pPr>
        <w:rPr>
          <w:b/>
          <w:bCs/>
          <w:u w:val="single"/>
        </w:rPr>
      </w:pPr>
      <w:r w:rsidRPr="003E5675">
        <w:rPr>
          <w:b/>
          <w:bCs/>
          <w:u w:val="single"/>
        </w:rPr>
        <w:t>Informācijai:</w:t>
      </w:r>
    </w:p>
    <w:p w14:paraId="6E73F24F" w14:textId="2A8AD9B1" w:rsidR="00503EBC" w:rsidRPr="003E5675" w:rsidRDefault="00503EBC" w:rsidP="003E5675">
      <w:pPr>
        <w:pStyle w:val="ListParagraph"/>
        <w:numPr>
          <w:ilvl w:val="0"/>
          <w:numId w:val="5"/>
        </w:numPr>
        <w:spacing w:after="0" w:line="240" w:lineRule="auto"/>
        <w:ind w:left="426"/>
      </w:pPr>
      <w:r w:rsidRPr="003E5675">
        <w:t xml:space="preserve">Tiem POLRR, kuriem 2025. gadam nav plānotās vērtības, </w:t>
      </w:r>
      <w:r w:rsidR="00995FC2" w:rsidRPr="003E5675">
        <w:t xml:space="preserve">ailē “Plānotā vērtība” </w:t>
      </w:r>
      <w:r w:rsidRPr="003E5675">
        <w:t>ir norādīts “x”</w:t>
      </w:r>
      <w:r w:rsidR="003E5675">
        <w:t>. J</w:t>
      </w:r>
      <w:r w:rsidRPr="003E5675">
        <w:t xml:space="preserve">a šiem POLRR ir pieejama izpildes </w:t>
      </w:r>
      <w:r w:rsidR="00995FC2" w:rsidRPr="003E5675">
        <w:t>vērtība</w:t>
      </w:r>
      <w:r w:rsidRPr="003E5675">
        <w:t xml:space="preserve"> par 2025. gadu, tā jānorāda, un izpildes skaidrojošā informācija jāsniedz par tuvākās plānotās vērtības sasniegšanas progresu.</w:t>
      </w:r>
    </w:p>
    <w:p w14:paraId="4988E426" w14:textId="7173330E" w:rsidR="00503EBC" w:rsidRPr="003E5675" w:rsidRDefault="00503EBC" w:rsidP="003E5675">
      <w:pPr>
        <w:pStyle w:val="ListParagraph"/>
        <w:numPr>
          <w:ilvl w:val="0"/>
          <w:numId w:val="5"/>
        </w:numPr>
        <w:spacing w:after="0" w:line="240" w:lineRule="auto"/>
        <w:ind w:left="426"/>
      </w:pPr>
      <w:r w:rsidRPr="003E5675">
        <w:t>Ja kādam no POLRR nav pieejama 2025.</w:t>
      </w:r>
      <w:r w:rsidR="00995FC2" w:rsidRPr="003E5675">
        <w:t xml:space="preserve"> </w:t>
      </w:r>
      <w:r w:rsidRPr="003E5675">
        <w:t xml:space="preserve">gada izpildes vērtība, </w:t>
      </w:r>
      <w:r w:rsidR="00995FC2" w:rsidRPr="003E5675">
        <w:t>tad saskaņā ar Ministru kabineta 2018. gada 10. aprīļa instrukcijas Nr. 2 “Instrukcija par valsts budžeta izpildes analīzi” 18.10. apakšpunktu</w:t>
      </w:r>
      <w:r w:rsidRPr="003E5675">
        <w:t xml:space="preserve"> norāda rādītāja pēdējo pieejamo faktisko izpildi, ailē </w:t>
      </w:r>
      <w:r w:rsidR="00995FC2" w:rsidRPr="003E5675">
        <w:t>“</w:t>
      </w:r>
      <w:r w:rsidRPr="003E5675">
        <w:t>Iemesli/faktori, kas ir noteikuši izpildi/neizpildi</w:t>
      </w:r>
      <w:r w:rsidR="00995FC2" w:rsidRPr="003E5675">
        <w:t>’</w:t>
      </w:r>
      <w:r w:rsidRPr="003E5675">
        <w:t xml:space="preserve"> sniedzot informāciju par gadu, par kuru norādīta rādītāja pēdējā pieejamā faktiskā izpilde</w:t>
      </w:r>
      <w:r w:rsidR="00995FC2" w:rsidRPr="003E5675">
        <w:t>.</w:t>
      </w:r>
    </w:p>
    <w:p w14:paraId="29C15B69" w14:textId="042DB115" w:rsidR="00995FC2" w:rsidRPr="003E5675" w:rsidRDefault="00995FC2" w:rsidP="003E5675">
      <w:pPr>
        <w:pStyle w:val="ListParagraph"/>
        <w:numPr>
          <w:ilvl w:val="0"/>
          <w:numId w:val="5"/>
        </w:numPr>
        <w:spacing w:after="0" w:line="240" w:lineRule="auto"/>
        <w:ind w:left="426"/>
      </w:pPr>
      <w:r w:rsidRPr="003E5675">
        <w:t xml:space="preserve">Rādītāja veidam </w:t>
      </w:r>
      <w:proofErr w:type="spellStart"/>
      <w:r w:rsidRPr="003E5675">
        <w:t>PPIzd</w:t>
      </w:r>
      <w:proofErr w:type="spellEnd"/>
      <w:r w:rsidRPr="003E5675">
        <w:t xml:space="preserve"> izpildes vērtība nevar tikt ievadīta lielāka nekā ir plānotā vērtība</w:t>
      </w:r>
      <w:r w:rsidR="00751E14" w:rsidRPr="003E5675">
        <w:t xml:space="preserve"> (budžetā paskaidrojumos iekļautie izdevumi attiecīgajam prioritārajam pasākumam)</w:t>
      </w:r>
      <w:r w:rsidRPr="003E5675">
        <w:t xml:space="preserve">. Ja prioritārā pasākuma ietvaros ir veiktas apropriācijas pārdales, informāciju par tām </w:t>
      </w:r>
      <w:r w:rsidR="00751E14" w:rsidRPr="003E5675">
        <w:t xml:space="preserve">iespējams </w:t>
      </w:r>
      <w:r w:rsidRPr="003E5675">
        <w:t xml:space="preserve">sniegt ailē </w:t>
      </w:r>
      <w:r w:rsidR="00751E14" w:rsidRPr="003E5675">
        <w:t>“</w:t>
      </w:r>
      <w:r w:rsidRPr="003E5675">
        <w:t>Iemesli/faktori, kas ir noteikuši izpildi/neizpildi</w:t>
      </w:r>
      <w:r w:rsidR="00751E14" w:rsidRPr="003E5675">
        <w:t>”.</w:t>
      </w:r>
      <w:r w:rsidRPr="003E5675">
        <w:t xml:space="preserve"> </w:t>
      </w:r>
    </w:p>
    <w:p w14:paraId="51F3E244" w14:textId="77777777" w:rsidR="003E5675" w:rsidRDefault="003E5675" w:rsidP="0007485E">
      <w:pPr>
        <w:rPr>
          <w:b/>
          <w:bCs/>
        </w:rPr>
      </w:pPr>
    </w:p>
    <w:p w14:paraId="69F975F5" w14:textId="45D9DCAE" w:rsidR="0007485E" w:rsidRPr="0007485E" w:rsidRDefault="0007485E" w:rsidP="0007485E">
      <w:pPr>
        <w:rPr>
          <w:b/>
          <w:bCs/>
        </w:rPr>
      </w:pPr>
      <w:r w:rsidRPr="0007485E">
        <w:rPr>
          <w:b/>
          <w:bCs/>
        </w:rPr>
        <w:t>Parakstīšanas kārtība</w:t>
      </w:r>
    </w:p>
    <w:p w14:paraId="0434D9A8" w14:textId="77777777" w:rsidR="00C04E4E" w:rsidRPr="00C04E4E" w:rsidRDefault="00C04E4E" w:rsidP="00C04E4E">
      <w:pPr>
        <w:rPr>
          <w:u w:val="single"/>
        </w:rPr>
      </w:pPr>
      <w:r w:rsidRPr="00C04E4E">
        <w:rPr>
          <w:u w:val="single"/>
        </w:rPr>
        <w:t>Statusu plūsmas apraksts – padotības iestādei</w:t>
      </w:r>
    </w:p>
    <w:p w14:paraId="4DB10699" w14:textId="04A03CC3" w:rsidR="00C04E4E" w:rsidRDefault="00C04E4E" w:rsidP="00C04E4E">
      <w:pPr>
        <w:spacing w:after="0" w:line="240" w:lineRule="auto"/>
        <w:ind w:left="720"/>
      </w:pPr>
      <w:r>
        <w:t>• Iestādes atbildīgais darbinieks sagatavo budžeta izpildes skaidrojumus un apstiprina tos, piešķirot statusu «Parakstīts-AFD»</w:t>
      </w:r>
    </w:p>
    <w:p w14:paraId="3763863E" w14:textId="67AF40C3" w:rsidR="00C04E4E" w:rsidRDefault="00C04E4E" w:rsidP="00C04E4E">
      <w:pPr>
        <w:spacing w:after="0" w:line="240" w:lineRule="auto"/>
        <w:ind w:left="720"/>
      </w:pPr>
      <w:r>
        <w:t>• Iestādes vadītājs izskata skaidrojumus un paraksta tos, piešķirot statusu «Parakstīts (iestādes vadītājs)» vai atgriež atbildīgajam darbiniekam labošanai, piešķirot statusu «Iestādei – atgriezts labošanai»</w:t>
      </w:r>
    </w:p>
    <w:p w14:paraId="2476665C" w14:textId="186B766F" w:rsidR="003E5675" w:rsidRDefault="003E5675" w:rsidP="003E5675">
      <w:pPr>
        <w:spacing w:after="0" w:line="240" w:lineRule="auto"/>
        <w:ind w:left="720"/>
      </w:pPr>
      <w:r>
        <w:t>• Ja pēc statusu “Parakstīts-AFD” vai “Parakstīts (vadītāja paraksts)” atbildīgais darbinieks konstatē, ka skaidrojumos nepieciešami labojumi, sazinās ar resora atbildīgo darbinieku, kurš piešķir statusu «Atgriezts labošanai»</w:t>
      </w:r>
    </w:p>
    <w:p w14:paraId="1434468B" w14:textId="6942D8E7" w:rsidR="00C04E4E" w:rsidRDefault="00C04E4E" w:rsidP="00C04E4E">
      <w:pPr>
        <w:spacing w:after="0" w:line="240" w:lineRule="auto"/>
        <w:ind w:left="720"/>
      </w:pPr>
      <w:r>
        <w:t>• Pēc tam, kad iestādes vadītājs ir parakstījis skaidrojumus, tos izskata ministrijas vai centrālās valsts iestādes darbinieks un piešķir statusu «Iestādei - parakstīts pieņemts» vai atgriež atbildīgajam darbiniekam labošanai, piešķirot statusu «Iestādei - atgriezts labošanai»</w:t>
      </w:r>
    </w:p>
    <w:p w14:paraId="541B011C" w14:textId="33CE835E" w:rsidR="00C04E4E" w:rsidRDefault="00C04E4E" w:rsidP="00C04E4E">
      <w:pPr>
        <w:spacing w:after="0" w:line="240" w:lineRule="auto"/>
        <w:ind w:left="720"/>
      </w:pPr>
      <w:r>
        <w:t>• Ja skaidrojumus parakstījis tikai iestādes atbildīgais darbinieks un kādu iemeslu pēc nav parakstījis iestādes vadītājs, tad ministrijas atbildīgais darbinieks var piešķirt statusu «Iestādei - neparakstīts pieņemts»</w:t>
      </w:r>
    </w:p>
    <w:p w14:paraId="4A3F6322" w14:textId="77777777" w:rsidR="00C04E4E" w:rsidRDefault="00C04E4E" w:rsidP="00C04E4E">
      <w:pPr>
        <w:rPr>
          <w:u w:val="single"/>
        </w:rPr>
      </w:pPr>
    </w:p>
    <w:p w14:paraId="5EC970C2" w14:textId="013430C3" w:rsidR="00C04E4E" w:rsidRPr="00C04E4E" w:rsidRDefault="00C04E4E" w:rsidP="00C04E4E">
      <w:pPr>
        <w:rPr>
          <w:u w:val="single"/>
        </w:rPr>
      </w:pPr>
      <w:r w:rsidRPr="00C04E4E">
        <w:rPr>
          <w:u w:val="single"/>
        </w:rPr>
        <w:t>Statusu plūsmas apraksts – ministrijai, centrālajai valsts iestādei</w:t>
      </w:r>
    </w:p>
    <w:p w14:paraId="5C057CBE" w14:textId="2D6DB784" w:rsidR="00C04E4E" w:rsidRDefault="00C04E4E" w:rsidP="00C04E4E">
      <w:pPr>
        <w:spacing w:after="0" w:line="240" w:lineRule="auto"/>
        <w:ind w:left="720"/>
      </w:pPr>
      <w:r>
        <w:t>• Ministrijas, centrālās valsts iestādes atbildīgais darbinieks pārbauda padotības iestāžu iesniegtos skaidrojumus un piešķir statusu «Iestādei - parakstīts pieņemts» vai «Iestādei - neparakstīts pieņemts», ja iestādes vadītājs nav varējis parakstīt skaidrojumus (šo soli veic, ja ministrijai, centrālajai valsts iestādei ir padotības iestādes)</w:t>
      </w:r>
    </w:p>
    <w:p w14:paraId="60E133AE" w14:textId="4C0A3F55" w:rsidR="00C04E4E" w:rsidRDefault="00C04E4E" w:rsidP="00C04E4E">
      <w:pPr>
        <w:spacing w:after="0" w:line="240" w:lineRule="auto"/>
        <w:ind w:left="720"/>
      </w:pPr>
      <w:r>
        <w:lastRenderedPageBreak/>
        <w:t>• Ministrijas, centrālās valsts iestādes atbildīgais darbinieks sagatavo ministrijas, centrālās valsts iestādes budžeta izpildes skaidrojumus un apstiprina tos, piešķirot statusu «Parakstīts-AFD»</w:t>
      </w:r>
    </w:p>
    <w:p w14:paraId="66F3D456" w14:textId="6B3226B3" w:rsidR="00C04E4E" w:rsidRDefault="00C04E4E" w:rsidP="00C04E4E">
      <w:pPr>
        <w:spacing w:after="0" w:line="240" w:lineRule="auto"/>
        <w:ind w:left="720"/>
      </w:pPr>
      <w:r>
        <w:t>• Ministrijas, centrālās valsts iestādes vadītājs izskata skaidrojumus un paraksta tos, piešķirot statusu «Parakstīts (iestādes vadītājs)» vai atgriež atbildīgajam darbiniekam labošanai, piešķirot statusu «Atgriezts labošanai»</w:t>
      </w:r>
    </w:p>
    <w:p w14:paraId="41330F08" w14:textId="773A9588" w:rsidR="003E5675" w:rsidRDefault="003E5675" w:rsidP="003E5675">
      <w:pPr>
        <w:spacing w:after="0" w:line="240" w:lineRule="auto"/>
        <w:ind w:left="720"/>
      </w:pPr>
      <w:r>
        <w:t>• Ja pēc statusu “Parakstīts-AFD” vai “Parakstīts (vadītāja paraksts)” atbildīgais darbinieks konstatē, ka skaidrojumos nepieciešami labojumi, sazinās ar atbildīgo Finanšu ministrijas kuratoru, kurš piešķir statusu «Atgriezts labošanai»</w:t>
      </w:r>
    </w:p>
    <w:p w14:paraId="3CE9E35B" w14:textId="361BD6FF" w:rsidR="00C04E4E" w:rsidRDefault="00C04E4E" w:rsidP="00C04E4E">
      <w:pPr>
        <w:spacing w:after="0" w:line="240" w:lineRule="auto"/>
        <w:ind w:left="720"/>
      </w:pPr>
      <w:r>
        <w:t>• Pēc tam, kad iestādes vadītājs ir parakstījis skaidrojumus, tos izskata Finanšu ministrijas atbildīgais kurators un piešķir statusu «Pieņemts» vai atgriež atbildīgajam darbiniekam labošanai, piešķirot statusu «Atgriezts labošanai»</w:t>
      </w:r>
    </w:p>
    <w:p w14:paraId="7635C68D" w14:textId="3FD14C5A" w:rsidR="00F35B26" w:rsidRDefault="00F35B26" w:rsidP="003E5675"/>
    <w:p w14:paraId="77AEFFE5" w14:textId="77777777" w:rsidR="008D7AAB" w:rsidRDefault="008D7AAB" w:rsidP="001A59B9">
      <w:pPr>
        <w:ind w:left="720"/>
      </w:pPr>
    </w:p>
    <w:p w14:paraId="53C68C3B" w14:textId="2EE08DDC" w:rsidR="00F35B26" w:rsidRDefault="008D7AAB" w:rsidP="008D7AAB">
      <w:r>
        <w:t>Statusu maiņas vēsturi ir iespējams apskatīt veidlapas apakšā:</w:t>
      </w:r>
    </w:p>
    <w:p w14:paraId="72387C66" w14:textId="52A8B085" w:rsidR="008D7AAB" w:rsidRDefault="008D7AAB" w:rsidP="008D7AAB">
      <w:pPr>
        <w:sectPr w:rsidR="008D7AAB" w:rsidSect="00EF337D">
          <w:pgSz w:w="11906" w:h="16838"/>
          <w:pgMar w:top="851" w:right="991" w:bottom="426" w:left="993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3AC06B43" wp14:editId="5F560DFB">
            <wp:extent cx="2973899" cy="568411"/>
            <wp:effectExtent l="0" t="0" r="0" b="3175"/>
            <wp:docPr id="165836619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687" cy="57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786CB" w14:textId="4DFEAEDB" w:rsidR="008D7AAB" w:rsidRDefault="00C04E4E" w:rsidP="003E5675">
      <w:pPr>
        <w:tabs>
          <w:tab w:val="left" w:pos="720"/>
        </w:tabs>
        <w:ind w:left="720" w:hanging="1146"/>
      </w:pPr>
      <w:r>
        <w:rPr>
          <w:noProof/>
        </w:rPr>
        <w:lastRenderedPageBreak/>
        <w:drawing>
          <wp:inline distT="0" distB="0" distL="0" distR="0" wp14:anchorId="69E44A84" wp14:editId="6954DA41">
            <wp:extent cx="10541160" cy="5838825"/>
            <wp:effectExtent l="0" t="0" r="0" b="0"/>
            <wp:docPr id="10288242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3588" cy="5856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D7AAB" w:rsidSect="003E5675">
      <w:pgSz w:w="16838" w:h="11906" w:orient="landscape"/>
      <w:pgMar w:top="993" w:right="851" w:bottom="180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12F"/>
    <w:multiLevelType w:val="hybridMultilevel"/>
    <w:tmpl w:val="8F8A46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657E5"/>
    <w:multiLevelType w:val="hybridMultilevel"/>
    <w:tmpl w:val="DD767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3A64"/>
    <w:multiLevelType w:val="hybridMultilevel"/>
    <w:tmpl w:val="E1F4E59E"/>
    <w:lvl w:ilvl="0" w:tplc="502E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7A48C3"/>
    <w:multiLevelType w:val="hybridMultilevel"/>
    <w:tmpl w:val="79ECBF5A"/>
    <w:lvl w:ilvl="0" w:tplc="AE102C3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AF37F8"/>
    <w:multiLevelType w:val="hybridMultilevel"/>
    <w:tmpl w:val="A0567116"/>
    <w:lvl w:ilvl="0" w:tplc="AE102C3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8329918">
    <w:abstractNumId w:val="0"/>
  </w:num>
  <w:num w:numId="2" w16cid:durableId="1405179020">
    <w:abstractNumId w:val="1"/>
  </w:num>
  <w:num w:numId="3" w16cid:durableId="1362975701">
    <w:abstractNumId w:val="4"/>
  </w:num>
  <w:num w:numId="4" w16cid:durableId="192311087">
    <w:abstractNumId w:val="3"/>
  </w:num>
  <w:num w:numId="5" w16cid:durableId="362749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B9"/>
    <w:rsid w:val="00011960"/>
    <w:rsid w:val="00062ACE"/>
    <w:rsid w:val="0007485E"/>
    <w:rsid w:val="000A1028"/>
    <w:rsid w:val="001A59B9"/>
    <w:rsid w:val="002318F9"/>
    <w:rsid w:val="00260D5F"/>
    <w:rsid w:val="002D3CC9"/>
    <w:rsid w:val="00301EAC"/>
    <w:rsid w:val="0031084D"/>
    <w:rsid w:val="00346CB6"/>
    <w:rsid w:val="003A1358"/>
    <w:rsid w:val="003D5922"/>
    <w:rsid w:val="003E5675"/>
    <w:rsid w:val="003F535D"/>
    <w:rsid w:val="004E07AD"/>
    <w:rsid w:val="00503EBC"/>
    <w:rsid w:val="005716AE"/>
    <w:rsid w:val="00751E14"/>
    <w:rsid w:val="007D05FE"/>
    <w:rsid w:val="008D7AAB"/>
    <w:rsid w:val="0095641A"/>
    <w:rsid w:val="00995FC2"/>
    <w:rsid w:val="009F594A"/>
    <w:rsid w:val="00A02613"/>
    <w:rsid w:val="00A06DEE"/>
    <w:rsid w:val="00A5667D"/>
    <w:rsid w:val="00AE0DC5"/>
    <w:rsid w:val="00B30F88"/>
    <w:rsid w:val="00B40885"/>
    <w:rsid w:val="00C04E4E"/>
    <w:rsid w:val="00CA3BDE"/>
    <w:rsid w:val="00D02D73"/>
    <w:rsid w:val="00DF6BDB"/>
    <w:rsid w:val="00E00C56"/>
    <w:rsid w:val="00EB1AD2"/>
    <w:rsid w:val="00EF03D0"/>
    <w:rsid w:val="00EF337D"/>
    <w:rsid w:val="00F33AED"/>
    <w:rsid w:val="00F3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86A721"/>
  <w15:chartTrackingRefBased/>
  <w15:docId w15:val="{CF473563-4351-46B8-92F0-8BBA9FEB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9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9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9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9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9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9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9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9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9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9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9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5F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F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5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5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9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9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3209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Sandija Krūmiņa</dc:creator>
  <cp:keywords/>
  <dc:description/>
  <cp:lastModifiedBy>Sandija Krūmiņa</cp:lastModifiedBy>
  <cp:revision>2</cp:revision>
  <dcterms:created xsi:type="dcterms:W3CDTF">2026-02-19T07:52:00Z</dcterms:created>
  <dcterms:modified xsi:type="dcterms:W3CDTF">2026-02-19T07:52:00Z</dcterms:modified>
</cp:coreProperties>
</file>