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6602" w14:textId="09AE0248" w:rsidR="00DF190B" w:rsidRPr="00F94E97" w:rsidRDefault="001F3921" w:rsidP="00F94E97">
      <w:pPr>
        <w:pStyle w:val="Title"/>
      </w:pPr>
      <w:r w:rsidRPr="00F94E97">
        <w:t>Ziņo</w:t>
      </w:r>
      <w:r w:rsidR="00EF75F8" w:rsidRPr="00F94E97">
        <w:t>j</w:t>
      </w:r>
      <w:r w:rsidR="00917588" w:rsidRPr="00F94E97">
        <w:t xml:space="preserve">ums par Latvijas Republikas </w:t>
      </w:r>
      <w:r w:rsidR="00E33B87" w:rsidRPr="00F94E97">
        <w:t xml:space="preserve">konsolidēto </w:t>
      </w:r>
      <w:r w:rsidR="00917588" w:rsidRPr="00F94E97">
        <w:t>202</w:t>
      </w:r>
      <w:r w:rsidR="008A20A3">
        <w:t>4</w:t>
      </w:r>
      <w:r w:rsidR="00E33B87" w:rsidRPr="00F94E97">
        <w:t>. gada pārskatu</w:t>
      </w:r>
    </w:p>
    <w:p w14:paraId="54D2C994" w14:textId="41CC74A4" w:rsidR="003B5860" w:rsidRPr="00A90691" w:rsidRDefault="003B5860" w:rsidP="2A8C4352">
      <w:pPr>
        <w:spacing w:line="288" w:lineRule="auto"/>
        <w:rPr>
          <w:noProof/>
        </w:rPr>
      </w:pPr>
      <w:r w:rsidRPr="2A8C4352">
        <w:rPr>
          <w:noProof/>
        </w:rPr>
        <w:t xml:space="preserve">Zemā ekonomikas izaugsme pasaulē un galvenajās Latvijas ārējās tirdzniecības partnervalstīs </w:t>
      </w:r>
      <w:r w:rsidR="00B374DE" w:rsidRPr="2A8C4352">
        <w:rPr>
          <w:noProof/>
        </w:rPr>
        <w:t>2024.</w:t>
      </w:r>
      <w:r w:rsidR="004A4309" w:rsidRPr="2A8C4352">
        <w:rPr>
          <w:noProof/>
        </w:rPr>
        <w:t> </w:t>
      </w:r>
      <w:r w:rsidR="00B374DE" w:rsidRPr="2A8C4352">
        <w:rPr>
          <w:noProof/>
        </w:rPr>
        <w:t xml:space="preserve">gadā </w:t>
      </w:r>
      <w:r w:rsidRPr="2A8C4352">
        <w:rPr>
          <w:noProof/>
        </w:rPr>
        <w:t>būtiski bremzēja Latvijas ekonomikas attīstību, kā rezultātā Latvijas iekšzemes kopprodukts (turpmāk – IKP) 202</w:t>
      </w:r>
      <w:r w:rsidR="00B374DE" w:rsidRPr="2A8C4352">
        <w:rPr>
          <w:noProof/>
        </w:rPr>
        <w:t>4</w:t>
      </w:r>
      <w:r w:rsidRPr="2A8C4352">
        <w:rPr>
          <w:noProof/>
        </w:rPr>
        <w:t>.</w:t>
      </w:r>
      <w:r w:rsidR="002042E5" w:rsidRPr="2A8C4352">
        <w:rPr>
          <w:noProof/>
        </w:rPr>
        <w:t xml:space="preserve"> </w:t>
      </w:r>
      <w:r w:rsidRPr="2A8C4352">
        <w:rPr>
          <w:noProof/>
        </w:rPr>
        <w:t>gadā salīdzināmās cenās ir samazinājies par 0,</w:t>
      </w:r>
      <w:r w:rsidR="00B374DE" w:rsidRPr="2A8C4352">
        <w:rPr>
          <w:noProof/>
        </w:rPr>
        <w:t>4</w:t>
      </w:r>
      <w:r w:rsidRPr="2A8C4352">
        <w:rPr>
          <w:noProof/>
        </w:rPr>
        <w:t> %, salīdzinot ar 202</w:t>
      </w:r>
      <w:r w:rsidR="00B374DE" w:rsidRPr="2A8C4352">
        <w:rPr>
          <w:noProof/>
        </w:rPr>
        <w:t>3</w:t>
      </w:r>
      <w:r w:rsidRPr="2A8C4352">
        <w:rPr>
          <w:noProof/>
        </w:rPr>
        <w:t>. gadu. Ekonomikas attīstības tempus bremzēj</w:t>
      </w:r>
      <w:r w:rsidR="004A4309" w:rsidRPr="2A8C4352">
        <w:rPr>
          <w:noProof/>
        </w:rPr>
        <w:t>u</w:t>
      </w:r>
      <w:r w:rsidRPr="2A8C4352">
        <w:rPr>
          <w:noProof/>
        </w:rPr>
        <w:t>s</w:t>
      </w:r>
      <w:r w:rsidR="004A4309" w:rsidRPr="2A8C4352">
        <w:rPr>
          <w:noProof/>
        </w:rPr>
        <w:t>i</w:t>
      </w:r>
      <w:r w:rsidRPr="2A8C4352">
        <w:rPr>
          <w:noProof/>
        </w:rPr>
        <w:t xml:space="preserve"> gan</w:t>
      </w:r>
      <w:r w:rsidR="00B374DE" w:rsidRPr="2A8C4352">
        <w:rPr>
          <w:noProof/>
        </w:rPr>
        <w:t xml:space="preserve"> saspringtā</w:t>
      </w:r>
      <w:r w:rsidR="00436DCB">
        <w:rPr>
          <w:noProof/>
        </w:rPr>
        <w:t>s</w:t>
      </w:r>
      <w:r w:rsidR="00B374DE" w:rsidRPr="2A8C4352">
        <w:rPr>
          <w:noProof/>
        </w:rPr>
        <w:t xml:space="preserve"> ģe</w:t>
      </w:r>
      <w:r w:rsidR="004D596A" w:rsidRPr="2A8C4352">
        <w:rPr>
          <w:noProof/>
        </w:rPr>
        <w:t>o</w:t>
      </w:r>
      <w:r w:rsidR="00B374DE" w:rsidRPr="2A8C4352">
        <w:rPr>
          <w:noProof/>
        </w:rPr>
        <w:t>politiskā</w:t>
      </w:r>
      <w:r w:rsidR="0F655908" w:rsidRPr="2A8C4352">
        <w:rPr>
          <w:noProof/>
        </w:rPr>
        <w:t>s</w:t>
      </w:r>
      <w:r w:rsidR="00B374DE" w:rsidRPr="2A8C4352">
        <w:rPr>
          <w:noProof/>
        </w:rPr>
        <w:t xml:space="preserve"> situācija</w:t>
      </w:r>
      <w:r w:rsidR="500CAE55" w:rsidRPr="2A8C4352">
        <w:rPr>
          <w:noProof/>
        </w:rPr>
        <w:t>s</w:t>
      </w:r>
      <w:r w:rsidR="00B374DE" w:rsidRPr="2A8C4352">
        <w:rPr>
          <w:noProof/>
        </w:rPr>
        <w:t xml:space="preserve"> </w:t>
      </w:r>
      <w:r w:rsidR="6C734C73" w:rsidRPr="2A8C4352">
        <w:rPr>
          <w:noProof/>
        </w:rPr>
        <w:t>radītā</w:t>
      </w:r>
      <w:r w:rsidR="00B374DE" w:rsidRPr="2A8C4352">
        <w:rPr>
          <w:noProof/>
        </w:rPr>
        <w:t xml:space="preserve"> nenoteiktība,</w:t>
      </w:r>
      <w:r w:rsidRPr="2A8C4352">
        <w:rPr>
          <w:noProof/>
        </w:rPr>
        <w:t xml:space="preserve"> Krievijas karš Ukrainā</w:t>
      </w:r>
      <w:r w:rsidR="00531CB4">
        <w:t xml:space="preserve"> </w:t>
      </w:r>
      <w:r w:rsidR="00B374DE" w:rsidRPr="2A8C4352">
        <w:rPr>
          <w:noProof/>
        </w:rPr>
        <w:t>un tam sekojušais cenu kāpums, gan joprojām augstās procentu likmes</w:t>
      </w:r>
      <w:r w:rsidRPr="2A8C4352">
        <w:rPr>
          <w:noProof/>
        </w:rPr>
        <w:t xml:space="preserve">. </w:t>
      </w:r>
      <w:r w:rsidR="0080130F" w:rsidRPr="2A8C4352">
        <w:rPr>
          <w:noProof/>
        </w:rPr>
        <w:t>Salīdzinājumam,</w:t>
      </w:r>
      <w:r w:rsidRPr="2A8C4352">
        <w:rPr>
          <w:noProof/>
        </w:rPr>
        <w:t xml:space="preserve"> </w:t>
      </w:r>
      <w:r w:rsidR="00494FCD" w:rsidRPr="2A8C4352">
        <w:rPr>
          <w:noProof/>
        </w:rPr>
        <w:t>Eiropas Savienības (turpmāk – ES) dalībvalstu ekonomiku vidēja</w:t>
      </w:r>
      <w:r w:rsidR="0080130F" w:rsidRPr="2A8C4352">
        <w:rPr>
          <w:noProof/>
        </w:rPr>
        <w:t>is</w:t>
      </w:r>
      <w:r w:rsidR="00494FCD" w:rsidRPr="2A8C4352">
        <w:rPr>
          <w:noProof/>
        </w:rPr>
        <w:t xml:space="preserve"> pieaugum</w:t>
      </w:r>
      <w:r w:rsidR="00876B85">
        <w:rPr>
          <w:noProof/>
        </w:rPr>
        <w:t>s</w:t>
      </w:r>
      <w:r w:rsidR="00494FCD" w:rsidRPr="2A8C4352">
        <w:rPr>
          <w:noProof/>
        </w:rPr>
        <w:t xml:space="preserve"> </w:t>
      </w:r>
      <w:r w:rsidR="0080130F" w:rsidRPr="00A90691">
        <w:rPr>
          <w:noProof/>
        </w:rPr>
        <w:t>202</w:t>
      </w:r>
      <w:r w:rsidR="02AA50B0" w:rsidRPr="00A90691">
        <w:rPr>
          <w:noProof/>
        </w:rPr>
        <w:t>4</w:t>
      </w:r>
      <w:r w:rsidR="0080130F" w:rsidRPr="00A90691">
        <w:rPr>
          <w:noProof/>
        </w:rPr>
        <w:t>.</w:t>
      </w:r>
      <w:r w:rsidR="002042E5" w:rsidRPr="00A90691">
        <w:rPr>
          <w:noProof/>
        </w:rPr>
        <w:t xml:space="preserve"> </w:t>
      </w:r>
      <w:r w:rsidR="0080130F" w:rsidRPr="00A90691">
        <w:rPr>
          <w:noProof/>
        </w:rPr>
        <w:t xml:space="preserve">gadā bijis </w:t>
      </w:r>
      <w:r w:rsidR="4206AD50" w:rsidRPr="00A90691">
        <w:rPr>
          <w:noProof/>
        </w:rPr>
        <w:t>1</w:t>
      </w:r>
      <w:r w:rsidR="00A90691">
        <w:rPr>
          <w:noProof/>
        </w:rPr>
        <w:t>,</w:t>
      </w:r>
      <w:r w:rsidR="4206AD50" w:rsidRPr="00A90691">
        <w:rPr>
          <w:noProof/>
        </w:rPr>
        <w:t>0</w:t>
      </w:r>
      <w:r w:rsidR="0080130F" w:rsidRPr="00A90691">
        <w:rPr>
          <w:noProof/>
        </w:rPr>
        <w:t xml:space="preserve"> %</w:t>
      </w:r>
      <w:r w:rsidR="002042E5" w:rsidRPr="00A90691">
        <w:rPr>
          <w:noProof/>
        </w:rPr>
        <w:t>.</w:t>
      </w:r>
    </w:p>
    <w:p w14:paraId="087D4292" w14:textId="05F64332" w:rsidR="00972F33" w:rsidRPr="00121233" w:rsidRDefault="00C5523E" w:rsidP="00972F33">
      <w:pPr>
        <w:spacing w:line="288" w:lineRule="auto"/>
        <w:rPr>
          <w:noProof/>
        </w:rPr>
      </w:pPr>
      <w:r w:rsidRPr="00D14900">
        <w:rPr>
          <w:noProof/>
        </w:rPr>
        <w:t>202</w:t>
      </w:r>
      <w:r w:rsidR="006E7045" w:rsidRPr="00D14900">
        <w:rPr>
          <w:noProof/>
        </w:rPr>
        <w:t>4</w:t>
      </w:r>
      <w:r w:rsidRPr="00D14900">
        <w:rPr>
          <w:noProof/>
        </w:rPr>
        <w:t>.</w:t>
      </w:r>
      <w:r w:rsidR="00E33B87" w:rsidRPr="00D14900">
        <w:rPr>
          <w:noProof/>
        </w:rPr>
        <w:t> </w:t>
      </w:r>
      <w:r w:rsidRPr="00D14900">
        <w:rPr>
          <w:noProof/>
        </w:rPr>
        <w:t>gadā</w:t>
      </w:r>
      <w:r w:rsidR="00DE3ABD" w:rsidRPr="00D14900">
        <w:rPr>
          <w:noProof/>
        </w:rPr>
        <w:t xml:space="preserve"> vispārējās va</w:t>
      </w:r>
      <w:r w:rsidRPr="00D14900">
        <w:rPr>
          <w:noProof/>
        </w:rPr>
        <w:t>ldības budžeta deficīts</w:t>
      </w:r>
      <w:r w:rsidRPr="00D14900">
        <w:rPr>
          <w:noProof/>
          <w:vertAlign w:val="superscript"/>
        </w:rPr>
        <w:footnoteReference w:id="2"/>
      </w:r>
      <w:r w:rsidRPr="00D14900">
        <w:rPr>
          <w:noProof/>
        </w:rPr>
        <w:t xml:space="preserve"> </w:t>
      </w:r>
      <w:r w:rsidR="00DE3ABD" w:rsidRPr="00D14900">
        <w:rPr>
          <w:noProof/>
        </w:rPr>
        <w:t xml:space="preserve">bija </w:t>
      </w:r>
      <w:r w:rsidR="008852E3" w:rsidRPr="00A90691">
        <w:rPr>
          <w:noProof/>
        </w:rPr>
        <w:t>1,8</w:t>
      </w:r>
      <w:r w:rsidR="00F97903" w:rsidRPr="00A90691">
        <w:rPr>
          <w:noProof/>
        </w:rPr>
        <w:t> %</w:t>
      </w:r>
      <w:r w:rsidR="00F97903" w:rsidRPr="00D14900">
        <w:rPr>
          <w:noProof/>
        </w:rPr>
        <w:t xml:space="preserve"> no </w:t>
      </w:r>
      <w:r w:rsidR="000C5AE9" w:rsidRPr="00D14900">
        <w:rPr>
          <w:noProof/>
        </w:rPr>
        <w:t>IKP</w:t>
      </w:r>
      <w:r w:rsidR="00A43B89" w:rsidRPr="00D14900">
        <w:rPr>
          <w:rStyle w:val="FootnoteReference"/>
          <w:noProof/>
        </w:rPr>
        <w:footnoteReference w:id="3"/>
      </w:r>
      <w:r w:rsidR="00F97903" w:rsidRPr="00D14900">
        <w:rPr>
          <w:noProof/>
        </w:rPr>
        <w:t xml:space="preserve">, </w:t>
      </w:r>
      <w:r w:rsidR="002042E5" w:rsidRPr="00D14900">
        <w:rPr>
          <w:noProof/>
        </w:rPr>
        <w:t xml:space="preserve">kas bija zemāks kā </w:t>
      </w:r>
      <w:r w:rsidR="00DE3ABD" w:rsidRPr="00D14900">
        <w:rPr>
          <w:noProof/>
        </w:rPr>
        <w:t>likumā “</w:t>
      </w:r>
      <w:r w:rsidR="00E33B87" w:rsidRPr="281B187A">
        <w:rPr>
          <w:noProof/>
        </w:rPr>
        <w:t>Par valsts budžetu 202</w:t>
      </w:r>
      <w:r w:rsidR="004A4309" w:rsidRPr="281B187A">
        <w:rPr>
          <w:noProof/>
        </w:rPr>
        <w:t>4</w:t>
      </w:r>
      <w:r w:rsidR="00E33B87" w:rsidRPr="281B187A">
        <w:rPr>
          <w:noProof/>
        </w:rPr>
        <w:t>. </w:t>
      </w:r>
      <w:r w:rsidR="0036097F" w:rsidRPr="281B187A">
        <w:rPr>
          <w:noProof/>
        </w:rPr>
        <w:t>gadam un budžeta ietvaru 202</w:t>
      </w:r>
      <w:r w:rsidR="004A4309" w:rsidRPr="281B187A">
        <w:rPr>
          <w:noProof/>
        </w:rPr>
        <w:t>4</w:t>
      </w:r>
      <w:r w:rsidR="0036097F" w:rsidRPr="281B187A">
        <w:rPr>
          <w:noProof/>
        </w:rPr>
        <w:t>., 202</w:t>
      </w:r>
      <w:r w:rsidR="004A4309" w:rsidRPr="281B187A">
        <w:rPr>
          <w:noProof/>
        </w:rPr>
        <w:t>5</w:t>
      </w:r>
      <w:r w:rsidR="0036097F" w:rsidRPr="281B187A">
        <w:rPr>
          <w:noProof/>
        </w:rPr>
        <w:t>. un 202</w:t>
      </w:r>
      <w:r w:rsidR="004A4309" w:rsidRPr="281B187A">
        <w:rPr>
          <w:noProof/>
        </w:rPr>
        <w:t>6</w:t>
      </w:r>
      <w:r w:rsidR="0036097F" w:rsidRPr="281B187A">
        <w:rPr>
          <w:noProof/>
        </w:rPr>
        <w:t>.</w:t>
      </w:r>
      <w:r w:rsidR="004A4309" w:rsidRPr="281B187A">
        <w:rPr>
          <w:noProof/>
        </w:rPr>
        <w:t> </w:t>
      </w:r>
      <w:r w:rsidR="0036097F" w:rsidRPr="281B187A">
        <w:rPr>
          <w:noProof/>
        </w:rPr>
        <w:t>gadam</w:t>
      </w:r>
      <w:r w:rsidR="00373BDC" w:rsidRPr="00D14900">
        <w:rPr>
          <w:noProof/>
        </w:rPr>
        <w:t>”</w:t>
      </w:r>
      <w:r w:rsidR="00DE3ABD" w:rsidRPr="00D14900">
        <w:rPr>
          <w:noProof/>
        </w:rPr>
        <w:t xml:space="preserve"> </w:t>
      </w:r>
      <w:r w:rsidR="00295926" w:rsidRPr="00D14900">
        <w:rPr>
          <w:noProof/>
        </w:rPr>
        <w:t>p</w:t>
      </w:r>
      <w:r w:rsidR="00876B85">
        <w:rPr>
          <w:noProof/>
        </w:rPr>
        <w:t>l</w:t>
      </w:r>
      <w:r w:rsidR="00295926" w:rsidRPr="00D14900">
        <w:rPr>
          <w:noProof/>
        </w:rPr>
        <w:t>ānot</w:t>
      </w:r>
      <w:r w:rsidR="00F24015" w:rsidRPr="00D14900">
        <w:rPr>
          <w:noProof/>
        </w:rPr>
        <w:t>ais</w:t>
      </w:r>
      <w:r w:rsidR="002042E5" w:rsidRPr="00D14900">
        <w:rPr>
          <w:noProof/>
        </w:rPr>
        <w:t xml:space="preserve"> deficīta līmeni</w:t>
      </w:r>
      <w:r w:rsidR="00F24015" w:rsidRPr="00D14900">
        <w:rPr>
          <w:noProof/>
        </w:rPr>
        <w:t xml:space="preserve">s </w:t>
      </w:r>
      <w:r w:rsidR="00D14900" w:rsidRPr="00D14900">
        <w:rPr>
          <w:noProof/>
        </w:rPr>
        <w:t>–</w:t>
      </w:r>
      <w:r w:rsidR="00567EEC" w:rsidRPr="00D14900">
        <w:rPr>
          <w:noProof/>
        </w:rPr>
        <w:t xml:space="preserve"> </w:t>
      </w:r>
      <w:r w:rsidR="00D14900" w:rsidRPr="00D14900">
        <w:rPr>
          <w:noProof/>
        </w:rPr>
        <w:t>2,8</w:t>
      </w:r>
      <w:r w:rsidR="007859A0" w:rsidRPr="00D14900">
        <w:rPr>
          <w:noProof/>
        </w:rPr>
        <w:t xml:space="preserve"> </w:t>
      </w:r>
      <w:r w:rsidR="00567EEC" w:rsidRPr="00D14900">
        <w:rPr>
          <w:noProof/>
        </w:rPr>
        <w:t>% no IKP</w:t>
      </w:r>
      <w:r w:rsidR="004F5374" w:rsidRPr="00D14900">
        <w:rPr>
          <w:rStyle w:val="FootnoteReference"/>
          <w:noProof/>
        </w:rPr>
        <w:footnoteReference w:id="4"/>
      </w:r>
      <w:r w:rsidR="007D201A" w:rsidRPr="00D14900">
        <w:rPr>
          <w:noProof/>
        </w:rPr>
        <w:t xml:space="preserve"> (neskaitot fiskālā nodrošinājuma rezervi 0,1</w:t>
      </w:r>
      <w:r w:rsidR="00C91445">
        <w:rPr>
          <w:noProof/>
        </w:rPr>
        <w:t> </w:t>
      </w:r>
      <w:r w:rsidR="007D201A" w:rsidRPr="00D14900">
        <w:rPr>
          <w:noProof/>
        </w:rPr>
        <w:t>% no IKP apmērā)</w:t>
      </w:r>
      <w:r w:rsidR="00C619A1" w:rsidRPr="00D14900">
        <w:rPr>
          <w:noProof/>
        </w:rPr>
        <w:t>,</w:t>
      </w:r>
      <w:r w:rsidR="00C619A1" w:rsidRPr="00A90691">
        <w:rPr>
          <w:noProof/>
        </w:rPr>
        <w:t xml:space="preserve"> un bija zemāks par ES dalībvalstu vidējo rādītāju – 3,</w:t>
      </w:r>
      <w:r w:rsidR="00072EC0" w:rsidRPr="00A90691">
        <w:rPr>
          <w:noProof/>
        </w:rPr>
        <w:t>2</w:t>
      </w:r>
      <w:r w:rsidR="00C619A1" w:rsidRPr="00A90691">
        <w:rPr>
          <w:noProof/>
        </w:rPr>
        <w:t> %</w:t>
      </w:r>
      <w:r w:rsidR="007B3962" w:rsidRPr="00A90691">
        <w:rPr>
          <w:noProof/>
        </w:rPr>
        <w:t>.</w:t>
      </w:r>
      <w:r w:rsidR="003912FF" w:rsidRPr="00A90691">
        <w:rPr>
          <w:noProof/>
        </w:rPr>
        <w:t xml:space="preserve"> </w:t>
      </w:r>
      <w:r w:rsidR="0039688D" w:rsidRPr="00D14900">
        <w:rPr>
          <w:noProof/>
        </w:rPr>
        <w:t>Salīdzinot ar 202</w:t>
      </w:r>
      <w:r w:rsidR="0017470F">
        <w:rPr>
          <w:noProof/>
        </w:rPr>
        <w:t>3</w:t>
      </w:r>
      <w:r w:rsidR="0039688D" w:rsidRPr="00D14900">
        <w:rPr>
          <w:noProof/>
        </w:rPr>
        <w:t xml:space="preserve">. gadu, vispārējās valdības budžeta deficīts </w:t>
      </w:r>
      <w:r w:rsidR="0039688D" w:rsidRPr="00A90691">
        <w:rPr>
          <w:noProof/>
        </w:rPr>
        <w:t xml:space="preserve">samazinājās par </w:t>
      </w:r>
      <w:r w:rsidR="00180F80" w:rsidRPr="00A90691">
        <w:rPr>
          <w:noProof/>
        </w:rPr>
        <w:t>22</w:t>
      </w:r>
      <w:r w:rsidR="068DE38A" w:rsidRPr="00A90691">
        <w:rPr>
          <w:noProof/>
        </w:rPr>
        <w:t>5,4</w:t>
      </w:r>
      <w:r w:rsidR="00180F80" w:rsidRPr="00A90691">
        <w:rPr>
          <w:noProof/>
        </w:rPr>
        <w:t xml:space="preserve"> </w:t>
      </w:r>
      <w:r w:rsidR="0039688D" w:rsidRPr="00A90691">
        <w:rPr>
          <w:noProof/>
        </w:rPr>
        <w:t xml:space="preserve">milj. </w:t>
      </w:r>
      <w:r w:rsidR="0039688D" w:rsidRPr="00A90691">
        <w:rPr>
          <w:i/>
          <w:iCs/>
          <w:noProof/>
        </w:rPr>
        <w:t>euro</w:t>
      </w:r>
      <w:r w:rsidR="0039688D" w:rsidRPr="00A90691">
        <w:rPr>
          <w:noProof/>
        </w:rPr>
        <w:t xml:space="preserve">. </w:t>
      </w:r>
      <w:r w:rsidR="00BD1318" w:rsidRPr="0086062D">
        <w:rPr>
          <w:noProof/>
        </w:rPr>
        <w:t xml:space="preserve">Deficīta izmaiņas pozitīvi ietekmēja augstāki ieņēmumi, </w:t>
      </w:r>
      <w:r w:rsidR="00BD1318" w:rsidRPr="00121233">
        <w:rPr>
          <w:noProof/>
        </w:rPr>
        <w:t>kā arī</w:t>
      </w:r>
      <w:r w:rsidR="00121233" w:rsidRPr="00121233">
        <w:rPr>
          <w:noProof/>
        </w:rPr>
        <w:t xml:space="preserve"> mazāki izdevumi gan ES fondu projektiem, gan valsts pamatfunkcijām, kas netika izlietoti plānotajā apmērā</w:t>
      </w:r>
      <w:r w:rsidR="00BD1318" w:rsidRPr="00121233">
        <w:rPr>
          <w:noProof/>
        </w:rPr>
        <w:t>.</w:t>
      </w:r>
    </w:p>
    <w:p w14:paraId="47FB9948" w14:textId="17A45C5E" w:rsidR="00055774" w:rsidRPr="007773CC" w:rsidRDefault="0048253C" w:rsidP="007B3962">
      <w:pPr>
        <w:spacing w:line="288" w:lineRule="auto"/>
      </w:pPr>
      <w:r w:rsidRPr="00A90691">
        <w:rPr>
          <w:noProof/>
        </w:rPr>
        <w:t xml:space="preserve">Latvijas </w:t>
      </w:r>
      <w:r w:rsidR="00812EA7" w:rsidRPr="00A90691">
        <w:rPr>
          <w:noProof/>
        </w:rPr>
        <w:t>vispārējās valdības parāds</w:t>
      </w:r>
      <w:r w:rsidR="00812EA7" w:rsidRPr="00A90691">
        <w:rPr>
          <w:noProof/>
          <w:vertAlign w:val="superscript"/>
        </w:rPr>
        <w:footnoteReference w:id="5"/>
      </w:r>
      <w:r w:rsidR="00812EA7" w:rsidRPr="00A90691">
        <w:rPr>
          <w:noProof/>
        </w:rPr>
        <w:t xml:space="preserve"> </w:t>
      </w:r>
      <w:r w:rsidR="0072063C" w:rsidRPr="00A90691">
        <w:rPr>
          <w:noProof/>
        </w:rPr>
        <w:t>202</w:t>
      </w:r>
      <w:r w:rsidR="007773CC" w:rsidRPr="00A90691">
        <w:rPr>
          <w:noProof/>
        </w:rPr>
        <w:t>4</w:t>
      </w:r>
      <w:r w:rsidR="00D472E9" w:rsidRPr="00A90691">
        <w:rPr>
          <w:noProof/>
        </w:rPr>
        <w:t>. </w:t>
      </w:r>
      <w:r w:rsidR="001F22B6" w:rsidRPr="00A90691">
        <w:rPr>
          <w:noProof/>
        </w:rPr>
        <w:t>g</w:t>
      </w:r>
      <w:r w:rsidR="00812EA7" w:rsidRPr="00A90691">
        <w:rPr>
          <w:noProof/>
        </w:rPr>
        <w:t xml:space="preserve">ada beigās bija </w:t>
      </w:r>
      <w:r w:rsidR="003C0C3A" w:rsidRPr="00A90691">
        <w:rPr>
          <w:noProof/>
        </w:rPr>
        <w:t>18,8</w:t>
      </w:r>
      <w:r w:rsidR="008C73C6" w:rsidRPr="00A90691">
        <w:rPr>
          <w:noProof/>
        </w:rPr>
        <w:t> mljrd. </w:t>
      </w:r>
      <w:r w:rsidR="008C73C6" w:rsidRPr="00A90691">
        <w:rPr>
          <w:i/>
          <w:iCs/>
          <w:noProof/>
        </w:rPr>
        <w:t>euro</w:t>
      </w:r>
      <w:r w:rsidR="008C73C6" w:rsidRPr="00A90691">
        <w:rPr>
          <w:noProof/>
        </w:rPr>
        <w:t xml:space="preserve"> jeb </w:t>
      </w:r>
      <w:r w:rsidR="003C0C3A" w:rsidRPr="00A90691">
        <w:rPr>
          <w:noProof/>
        </w:rPr>
        <w:t>46,8</w:t>
      </w:r>
      <w:r w:rsidR="00AD57D8" w:rsidRPr="00A90691">
        <w:rPr>
          <w:noProof/>
        </w:rPr>
        <w:t> </w:t>
      </w:r>
      <w:r w:rsidR="00812EA7" w:rsidRPr="00A90691">
        <w:rPr>
          <w:noProof/>
        </w:rPr>
        <w:t>%</w:t>
      </w:r>
      <w:r w:rsidR="0072063C" w:rsidRPr="00A90691">
        <w:rPr>
          <w:noProof/>
        </w:rPr>
        <w:t xml:space="preserve"> no IKP</w:t>
      </w:r>
      <w:r w:rsidR="1BE305F4" w:rsidRPr="00A90691">
        <w:rPr>
          <w:noProof/>
        </w:rPr>
        <w:t>.</w:t>
      </w:r>
      <w:r w:rsidR="00812EA7" w:rsidRPr="00A90691">
        <w:rPr>
          <w:noProof/>
        </w:rPr>
        <w:t xml:space="preserve"> </w:t>
      </w:r>
      <w:r w:rsidR="009C10CD" w:rsidRPr="00A90691">
        <w:t xml:space="preserve">Neskatoties uz pēdējo gadu pieaugumu, Latvijas vispārējās valdības parāda līmenis joprojām ir viens no zemākajiem </w:t>
      </w:r>
      <w:proofErr w:type="spellStart"/>
      <w:r w:rsidR="009C10CD" w:rsidRPr="00A90691">
        <w:t>eirozonas</w:t>
      </w:r>
      <w:proofErr w:type="spellEnd"/>
      <w:r w:rsidR="009C10CD" w:rsidRPr="00A90691">
        <w:t xml:space="preserve"> dalībvalstu vidū</w:t>
      </w:r>
      <w:r w:rsidR="3A108612" w:rsidRPr="00A90691">
        <w:t xml:space="preserve"> un</w:t>
      </w:r>
      <w:r w:rsidR="3A108612" w:rsidRPr="00A90691">
        <w:rPr>
          <w:noProof/>
        </w:rPr>
        <w:t xml:space="preserve"> vēl aizvien ir ievērojami zemāks nekā vidēji ES dalībvalstīs (81,</w:t>
      </w:r>
      <w:r w:rsidR="008F7B27" w:rsidRPr="00A90691">
        <w:rPr>
          <w:noProof/>
        </w:rPr>
        <w:t>0</w:t>
      </w:r>
      <w:r w:rsidR="3A108612" w:rsidRPr="00A90691">
        <w:rPr>
          <w:noProof/>
        </w:rPr>
        <w:t> %)</w:t>
      </w:r>
      <w:r w:rsidR="601E5196" w:rsidRPr="00A90691">
        <w:rPr>
          <w:noProof/>
        </w:rPr>
        <w:t xml:space="preserve">. </w:t>
      </w:r>
      <w:r w:rsidR="006173B6" w:rsidRPr="00121233">
        <w:rPr>
          <w:noProof/>
        </w:rPr>
        <w:t>V</w:t>
      </w:r>
      <w:r w:rsidR="002F7D66">
        <w:rPr>
          <w:noProof/>
        </w:rPr>
        <w:t>alsts</w:t>
      </w:r>
      <w:r w:rsidR="002F7D66">
        <w:t xml:space="preserve"> un pašvaldību </w:t>
      </w:r>
      <w:r w:rsidR="006173B6" w:rsidRPr="00121233">
        <w:t>parād</w:t>
      </w:r>
      <w:r w:rsidR="002F7D66">
        <w:t>s</w:t>
      </w:r>
      <w:r w:rsidR="004670AA" w:rsidRPr="00121233">
        <w:rPr>
          <w:vertAlign w:val="superscript"/>
        </w:rPr>
        <w:footnoteReference w:id="6"/>
      </w:r>
      <w:r w:rsidR="002F7D66">
        <w:t xml:space="preserve"> </w:t>
      </w:r>
      <w:r w:rsidR="004670AA">
        <w:t>salīdzinājumā ar 2023.gadu pieauga par 7,9</w:t>
      </w:r>
      <w:r w:rsidR="00A90691">
        <w:t> </w:t>
      </w:r>
      <w:r w:rsidR="004670AA">
        <w:t>%</w:t>
      </w:r>
      <w:r w:rsidR="61C1D205">
        <w:t>, savukārt</w:t>
      </w:r>
      <w:r w:rsidR="004670AA">
        <w:t xml:space="preserve"> </w:t>
      </w:r>
      <w:r w:rsidR="594D0E9E">
        <w:t>v</w:t>
      </w:r>
      <w:r w:rsidR="006173B6" w:rsidRPr="00121233">
        <w:t>alsts parāds</w:t>
      </w:r>
      <w:r w:rsidR="312A6B11" w:rsidRPr="00121233">
        <w:t>,</w:t>
      </w:r>
      <w:r w:rsidR="006173B6" w:rsidRPr="00121233">
        <w:t xml:space="preserve"> kas </w:t>
      </w:r>
      <w:r w:rsidR="001F22B6" w:rsidRPr="00121233">
        <w:t>202</w:t>
      </w:r>
      <w:r w:rsidR="00121233" w:rsidRPr="00121233">
        <w:t>4</w:t>
      </w:r>
      <w:r w:rsidR="001F22B6" w:rsidRPr="00121233">
        <w:t>.</w:t>
      </w:r>
      <w:r w:rsidR="004A4309">
        <w:t> </w:t>
      </w:r>
      <w:r w:rsidR="001F22B6" w:rsidRPr="00121233">
        <w:t>g</w:t>
      </w:r>
      <w:r w:rsidR="00B52C9F" w:rsidRPr="00121233">
        <w:t>ada beigās bija</w:t>
      </w:r>
      <w:r w:rsidR="00D52A74" w:rsidRPr="00121233">
        <w:t xml:space="preserve"> </w:t>
      </w:r>
      <w:r w:rsidR="00D00192" w:rsidRPr="00121233">
        <w:t>1</w:t>
      </w:r>
      <w:r w:rsidR="00121233" w:rsidRPr="00121233">
        <w:t>9</w:t>
      </w:r>
      <w:r w:rsidR="00D00192" w:rsidRPr="00121233">
        <w:t>,</w:t>
      </w:r>
      <w:r w:rsidR="00121233" w:rsidRPr="00121233">
        <w:t>1</w:t>
      </w:r>
      <w:r w:rsidR="004A4309">
        <w:t> </w:t>
      </w:r>
      <w:r w:rsidR="00A34526" w:rsidRPr="00121233">
        <w:t>m</w:t>
      </w:r>
      <w:r w:rsidR="005D5CA0" w:rsidRPr="00121233">
        <w:t>l</w:t>
      </w:r>
      <w:r w:rsidR="00A34526" w:rsidRPr="00121233">
        <w:t>jrd. </w:t>
      </w:r>
      <w:proofErr w:type="spellStart"/>
      <w:r w:rsidR="00A34526" w:rsidRPr="2A8C4352">
        <w:rPr>
          <w:i/>
          <w:iCs/>
        </w:rPr>
        <w:t>euro</w:t>
      </w:r>
      <w:proofErr w:type="spellEnd"/>
      <w:r w:rsidR="00A34526" w:rsidRPr="00121233">
        <w:t xml:space="preserve"> nominālvērtībā</w:t>
      </w:r>
      <w:r w:rsidR="006B0C98">
        <w:t xml:space="preserve"> </w:t>
      </w:r>
      <w:r w:rsidR="00F30DA4">
        <w:t>(bez parāda vērtspapīriem piesaistīto atvasināto finanšu instrumentu valūtas rezultāta)</w:t>
      </w:r>
      <w:r w:rsidR="00A34526" w:rsidRPr="00121233">
        <w:t>, pieaug</w:t>
      </w:r>
      <w:r w:rsidR="2C496942" w:rsidRPr="00121233">
        <w:t>a</w:t>
      </w:r>
      <w:r w:rsidR="00A34526" w:rsidRPr="00121233">
        <w:t xml:space="preserve"> </w:t>
      </w:r>
      <w:r w:rsidR="00A34526" w:rsidRPr="00DB2BC0">
        <w:t xml:space="preserve">par </w:t>
      </w:r>
      <w:r w:rsidR="00B507AF" w:rsidRPr="00DB2BC0">
        <w:t>8,</w:t>
      </w:r>
      <w:r w:rsidR="00DB2BC0" w:rsidRPr="00DB2BC0">
        <w:t>0</w:t>
      </w:r>
      <w:r w:rsidR="00A34526" w:rsidRPr="00DB2BC0">
        <w:t> %</w:t>
      </w:r>
      <w:r w:rsidR="00A629CB" w:rsidRPr="007773CC">
        <w:t xml:space="preserve">. </w:t>
      </w:r>
      <w:r w:rsidR="007773CC" w:rsidRPr="007773CC">
        <w:t xml:space="preserve">Tā pieaugumu noteica pagājušajā gadā veiktie aizņemšanās pasākumi kopējās finansēšanas nepieciešamības nodrošināšanai, tai skaitā, lai finansētu valsts budžeta deficītu un </w:t>
      </w:r>
      <w:r w:rsidR="007A50A2">
        <w:t xml:space="preserve">pārfinansētu </w:t>
      </w:r>
      <w:r w:rsidR="007773CC" w:rsidRPr="007773CC">
        <w:t>valsts parāda saistības.</w:t>
      </w:r>
    </w:p>
    <w:p w14:paraId="6A3EEA33" w14:textId="30A7611A" w:rsidR="00FC00E5" w:rsidRDefault="00210334" w:rsidP="00972F33">
      <w:pPr>
        <w:pStyle w:val="Pamatteksts1"/>
        <w:spacing w:line="288" w:lineRule="auto"/>
        <w:rPr>
          <w:color w:val="17365D"/>
        </w:rPr>
      </w:pPr>
      <w:r w:rsidRPr="0C4147C3">
        <w:rPr>
          <w:color w:val="17365D" w:themeColor="text2" w:themeShade="BF"/>
        </w:rPr>
        <w:t xml:space="preserve">Elastīgi pielāgojoties aktuālajai finanšu tirgus situācijai, kurai līdzīgi kā iepriekšējos gados, bija raksturīgs izteikts svārstīgums un nenoteiktība, </w:t>
      </w:r>
      <w:r w:rsidRPr="62B6A679">
        <w:rPr>
          <w:color w:val="17365D" w:themeColor="text2" w:themeShade="BF"/>
        </w:rPr>
        <w:t>Valsts kase 2024.</w:t>
      </w:r>
      <w:r w:rsidR="00A90691">
        <w:rPr>
          <w:color w:val="17365D" w:themeColor="text2" w:themeShade="BF"/>
        </w:rPr>
        <w:t> </w:t>
      </w:r>
      <w:r w:rsidRPr="0C4147C3">
        <w:rPr>
          <w:color w:val="17365D" w:themeColor="text2" w:themeShade="BF"/>
        </w:rPr>
        <w:t xml:space="preserve">gadā diversificēja aizņemšanās instrumentus, savlaicīgi un ar optimālām valsts parāda apkalpošanas izmaksām nodrošinot resursus kopējās finansēšanas nepieciešamības segšanai. Resursu piesaiste </w:t>
      </w:r>
      <w:r w:rsidR="00CE14DB" w:rsidRPr="0C4147C3">
        <w:rPr>
          <w:color w:val="17365D" w:themeColor="text2" w:themeShade="BF"/>
        </w:rPr>
        <w:t xml:space="preserve">3,1 mljrd. </w:t>
      </w:r>
      <w:r w:rsidR="00CE14DB" w:rsidRPr="0C4147C3">
        <w:rPr>
          <w:i/>
          <w:color w:val="17365D" w:themeColor="text2" w:themeShade="BF"/>
        </w:rPr>
        <w:t>euro</w:t>
      </w:r>
      <w:r w:rsidR="00CE14DB" w:rsidRPr="0C4147C3">
        <w:rPr>
          <w:color w:val="17365D" w:themeColor="text2" w:themeShade="BF"/>
        </w:rPr>
        <w:t xml:space="preserve"> </w:t>
      </w:r>
      <w:r w:rsidRPr="0C4147C3">
        <w:rPr>
          <w:color w:val="17365D" w:themeColor="text2" w:themeShade="BF"/>
        </w:rPr>
        <w:t>apm</w:t>
      </w:r>
      <w:r w:rsidR="00CE14DB" w:rsidRPr="0C4147C3">
        <w:rPr>
          <w:color w:val="17365D" w:themeColor="text2" w:themeShade="BF"/>
        </w:rPr>
        <w:t>ēr</w:t>
      </w:r>
      <w:r w:rsidRPr="0C4147C3">
        <w:rPr>
          <w:color w:val="17365D" w:themeColor="text2" w:themeShade="BF"/>
        </w:rPr>
        <w:t xml:space="preserve">ā veikta gan emitējot obligācijas starptautiskajos finanšu tirgos, </w:t>
      </w:r>
      <w:r w:rsidR="5766B9FD" w:rsidRPr="62B6A679">
        <w:rPr>
          <w:color w:val="17365D" w:themeColor="text2" w:themeShade="BF"/>
        </w:rPr>
        <w:t>veicot</w:t>
      </w:r>
      <w:r w:rsidRPr="0C4147C3">
        <w:rPr>
          <w:color w:val="17365D" w:themeColor="text2" w:themeShade="BF"/>
        </w:rPr>
        <w:t xml:space="preserve"> apgrozībā esošo obligāciju papildu laidienu izsolēs ar primāro dīleru starpniecību, gan ar krājobligācijām no privātpersonām. </w:t>
      </w:r>
    </w:p>
    <w:p w14:paraId="0C9B1F88" w14:textId="75DB675A" w:rsidR="00235A34" w:rsidRPr="00A90691" w:rsidRDefault="76E30720" w:rsidP="00A90691">
      <w:pPr>
        <w:pStyle w:val="Pamatteksts1"/>
        <w:spacing w:line="288" w:lineRule="auto"/>
        <w:rPr>
          <w:color w:val="17365D" w:themeColor="text2" w:themeShade="BF"/>
        </w:rPr>
      </w:pPr>
      <w:r w:rsidRPr="00A90691">
        <w:rPr>
          <w:color w:val="17365D" w:themeColor="text2" w:themeShade="BF"/>
        </w:rPr>
        <w:t>Maijā, emitējot 10 gadu etalona obligācijas 1,25 mljrd. ASV dolāru apmērā</w:t>
      </w:r>
      <w:r w:rsidR="00A90691">
        <w:rPr>
          <w:color w:val="17365D" w:themeColor="text2" w:themeShade="BF"/>
        </w:rPr>
        <w:t>,</w:t>
      </w:r>
      <w:r w:rsidRPr="00A90691">
        <w:rPr>
          <w:color w:val="17365D" w:themeColor="text2" w:themeShade="BF"/>
        </w:rPr>
        <w:t xml:space="preserve"> nodrošināta Latvijas kā emitenta stratēģiskā atgriešanās ASV dolāru tirgū pēc 12 gadu pārtraukuma. Lai pilnībā novērstu valūtas risku, vienlaicīgi ar šo obligāciju emisiju tika noslēgts valūtas mijmaiņas darījums, kā rezultātā šo obligāciju efektīvā procentu likme pēc mijmaiņas darījuma bija zemāka par līdzīga termiņa aizņemšanās izmaksu līmeni </w:t>
      </w:r>
      <w:r w:rsidRPr="00A90691">
        <w:rPr>
          <w:i/>
          <w:iCs/>
          <w:color w:val="17365D" w:themeColor="text2" w:themeShade="BF"/>
        </w:rPr>
        <w:t>euro</w:t>
      </w:r>
      <w:r w:rsidRPr="00A90691">
        <w:rPr>
          <w:color w:val="17365D" w:themeColor="text2" w:themeShade="BF"/>
        </w:rPr>
        <w:t xml:space="preserve">. Septembrī veikta aizņemšanās EUR kapitāla </w:t>
      </w:r>
      <w:r w:rsidRPr="00A90691">
        <w:rPr>
          <w:color w:val="17365D" w:themeColor="text2" w:themeShade="BF"/>
        </w:rPr>
        <w:lastRenderedPageBreak/>
        <w:t xml:space="preserve">tirgū, emitējot septiņu gadu obligācijas 600 milj. </w:t>
      </w:r>
      <w:r w:rsidRPr="00A90691">
        <w:rPr>
          <w:i/>
          <w:iCs/>
          <w:color w:val="17365D" w:themeColor="text2" w:themeShade="BF"/>
        </w:rPr>
        <w:t>euro</w:t>
      </w:r>
      <w:r w:rsidRPr="00A90691">
        <w:rPr>
          <w:color w:val="17365D" w:themeColor="text2" w:themeShade="BF"/>
        </w:rPr>
        <w:t xml:space="preserve"> apmērā. Pieprasījums pēc šīm obligācijām sasniedza vēsturiski lielāko apjomu, kāds ir bijis Latvijas valsts vērtspapīru emisijās EUR valūtā, kā arī investoru skaits bija viens no lielākajiem.</w:t>
      </w:r>
      <w:r w:rsidR="0E4EEED4" w:rsidRPr="00A90691">
        <w:rPr>
          <w:color w:val="17365D" w:themeColor="text2" w:themeShade="BF"/>
        </w:rPr>
        <w:t xml:space="preserve"> 2024.</w:t>
      </w:r>
      <w:r w:rsidR="00A90691">
        <w:rPr>
          <w:color w:val="17365D" w:themeColor="text2" w:themeShade="BF"/>
        </w:rPr>
        <w:t> </w:t>
      </w:r>
      <w:r w:rsidR="0E4EEED4" w:rsidRPr="00A90691">
        <w:rPr>
          <w:color w:val="17365D" w:themeColor="text2" w:themeShade="BF"/>
        </w:rPr>
        <w:t>gadā</w:t>
      </w:r>
      <w:r w:rsidR="55EB9896" w:rsidRPr="00A90691">
        <w:rPr>
          <w:color w:val="17365D" w:themeColor="text2" w:themeShade="BF"/>
        </w:rPr>
        <w:t>,</w:t>
      </w:r>
      <w:r w:rsidR="0E4EEED4" w:rsidRPr="00A90691">
        <w:rPr>
          <w:color w:val="17365D" w:themeColor="text2" w:themeShade="BF"/>
        </w:rPr>
        <w:t xml:space="preserve"> rīkoj</w:t>
      </w:r>
      <w:r w:rsidR="55EB9896" w:rsidRPr="00A90691">
        <w:rPr>
          <w:color w:val="17365D" w:themeColor="text2" w:themeShade="BF"/>
        </w:rPr>
        <w:t>ot</w:t>
      </w:r>
      <w:r w:rsidR="0E4EEED4" w:rsidRPr="00A90691">
        <w:rPr>
          <w:color w:val="17365D" w:themeColor="text2" w:themeShade="BF"/>
        </w:rPr>
        <w:t xml:space="preserve"> regulāras </w:t>
      </w:r>
      <w:r w:rsidR="18885B9D" w:rsidRPr="00A90691">
        <w:rPr>
          <w:color w:val="17365D" w:themeColor="text2" w:themeShade="BF"/>
        </w:rPr>
        <w:t xml:space="preserve">apgrozībā esošo </w:t>
      </w:r>
      <w:r w:rsidR="59533F25" w:rsidRPr="00A90691">
        <w:rPr>
          <w:color w:val="17365D" w:themeColor="text2" w:themeShade="BF"/>
        </w:rPr>
        <w:t xml:space="preserve">dažāda termiņa </w:t>
      </w:r>
      <w:r w:rsidR="18885B9D" w:rsidRPr="00A90691">
        <w:rPr>
          <w:color w:val="17365D" w:themeColor="text2" w:themeShade="BF"/>
        </w:rPr>
        <w:t xml:space="preserve">eiroobligāciju papildu laidienu </w:t>
      </w:r>
      <w:r w:rsidR="0E4EEED4" w:rsidRPr="00A90691">
        <w:rPr>
          <w:color w:val="17365D" w:themeColor="text2" w:themeShade="BF"/>
        </w:rPr>
        <w:t xml:space="preserve">izsoles ar primāro dīleru starpniecību, </w:t>
      </w:r>
      <w:r w:rsidR="55EB9896" w:rsidRPr="00A90691">
        <w:rPr>
          <w:color w:val="17365D" w:themeColor="text2" w:themeShade="BF"/>
        </w:rPr>
        <w:t xml:space="preserve">Valsts kase </w:t>
      </w:r>
      <w:r w:rsidR="18885B9D" w:rsidRPr="00A90691">
        <w:rPr>
          <w:color w:val="17365D" w:themeColor="text2" w:themeShade="BF"/>
        </w:rPr>
        <w:t xml:space="preserve">piesaistīja </w:t>
      </w:r>
      <w:r w:rsidR="52151424" w:rsidRPr="00A90691">
        <w:rPr>
          <w:color w:val="17365D" w:themeColor="text2" w:themeShade="BF"/>
        </w:rPr>
        <w:t xml:space="preserve">resursus 1,085 mljrd. </w:t>
      </w:r>
      <w:r w:rsidR="52151424" w:rsidRPr="00A90691">
        <w:rPr>
          <w:i/>
          <w:iCs/>
          <w:color w:val="17365D" w:themeColor="text2" w:themeShade="BF"/>
        </w:rPr>
        <w:t>euro</w:t>
      </w:r>
      <w:r w:rsidR="52151424" w:rsidRPr="00A90691">
        <w:rPr>
          <w:color w:val="17365D" w:themeColor="text2" w:themeShade="BF"/>
        </w:rPr>
        <w:t xml:space="preserve"> apmērā</w:t>
      </w:r>
      <w:r w:rsidR="5882BA7F" w:rsidRPr="00A90691">
        <w:rPr>
          <w:color w:val="17365D" w:themeColor="text2" w:themeShade="BF"/>
        </w:rPr>
        <w:t>, līdzīgi 2023. gadā izsolēs piesaistītajam finansējuma apjomam</w:t>
      </w:r>
      <w:r w:rsidR="52151424" w:rsidRPr="00A90691">
        <w:rPr>
          <w:color w:val="17365D" w:themeColor="text2" w:themeShade="BF"/>
        </w:rPr>
        <w:t xml:space="preserve">. </w:t>
      </w:r>
      <w:r w:rsidR="723B5026" w:rsidRPr="00A90691">
        <w:rPr>
          <w:color w:val="17365D" w:themeColor="text2" w:themeShade="BF"/>
        </w:rPr>
        <w:t>Kopš izsolēs tiek piedāvāti eiroobligāciju papildu laidieni, ir palielinājusies starptautisko investoru interese p</w:t>
      </w:r>
      <w:r w:rsidR="2AFE10A7" w:rsidRPr="00A90691">
        <w:rPr>
          <w:color w:val="17365D" w:themeColor="text2" w:themeShade="BF"/>
        </w:rPr>
        <w:t>ar</w:t>
      </w:r>
      <w:r w:rsidR="723B5026" w:rsidRPr="00A90691">
        <w:rPr>
          <w:color w:val="17365D" w:themeColor="text2" w:themeShade="BF"/>
        </w:rPr>
        <w:t xml:space="preserve"> Latvijas valsts vērtspapīriem, ļaujot piesaistīt resursus ar izdevīgām procentu likmēm. </w:t>
      </w:r>
    </w:p>
    <w:p w14:paraId="5D910E68" w14:textId="17684D5E" w:rsidR="00813794" w:rsidRPr="00A90691" w:rsidRDefault="6C3A4B6B" w:rsidP="00A90691">
      <w:pPr>
        <w:pStyle w:val="Pamatteksts1"/>
        <w:spacing w:line="288" w:lineRule="auto"/>
        <w:rPr>
          <w:color w:val="17365D" w:themeColor="text2" w:themeShade="BF"/>
        </w:rPr>
      </w:pPr>
      <w:r w:rsidRPr="00A90691">
        <w:rPr>
          <w:color w:val="17365D" w:themeColor="text2" w:themeShade="BF"/>
        </w:rPr>
        <w:t>Latvijas iedzīvotāju p</w:t>
      </w:r>
      <w:r w:rsidR="70082775" w:rsidRPr="00A90691">
        <w:rPr>
          <w:color w:val="17365D" w:themeColor="text2" w:themeShade="BF"/>
        </w:rPr>
        <w:t xml:space="preserve">ieprasījums pēc krājobligācijām ir bijis stabils un noturīgs, liecinot par krājobligāciju atpazīstamību un iedzīvotāju uzticību šim instrumentam. Iedzīvotāju interesi </w:t>
      </w:r>
      <w:r w:rsidR="35F55F3A" w:rsidRPr="00A90691">
        <w:rPr>
          <w:color w:val="17365D" w:themeColor="text2" w:themeShade="BF"/>
        </w:rPr>
        <w:t>par</w:t>
      </w:r>
      <w:r w:rsidR="70082775" w:rsidRPr="00A90691">
        <w:rPr>
          <w:color w:val="17365D" w:themeColor="text2" w:themeShade="BF"/>
        </w:rPr>
        <w:t xml:space="preserve"> krājobligācijām uztur finanšu tirgus tendencēm atbilstošas procentu likmes, iespēja saņemt ar nodokļiem neapliekamu fiksētu procentu ienākumu līdz ieguldījuma termiņa beigām, valsts garantēts ieguldījumu drošums un krājobligāciju iegādes ērtums</w:t>
      </w:r>
      <w:r w:rsidR="26A53E70" w:rsidRPr="00A90691">
        <w:rPr>
          <w:color w:val="17365D" w:themeColor="text2" w:themeShade="BF"/>
        </w:rPr>
        <w:t>.</w:t>
      </w:r>
      <w:r w:rsidR="3E280BD6" w:rsidRPr="00A90691">
        <w:rPr>
          <w:color w:val="17365D" w:themeColor="text2" w:themeShade="BF"/>
        </w:rPr>
        <w:t xml:space="preserve"> Krājobligācijas iedzīvotāji var iegādāties jebkurā diennakts laikā vietnē www.krajobligacijas.lv, norēķinoties par iegādi tiešsaistē</w:t>
      </w:r>
      <w:r w:rsidR="70082775" w:rsidRPr="00A90691">
        <w:rPr>
          <w:color w:val="17365D" w:themeColor="text2" w:themeShade="BF"/>
        </w:rPr>
        <w:t>.</w:t>
      </w:r>
      <w:r w:rsidR="75039443" w:rsidRPr="00A90691">
        <w:rPr>
          <w:color w:val="17365D" w:themeColor="text2" w:themeShade="BF"/>
        </w:rPr>
        <w:t xml:space="preserve"> </w:t>
      </w:r>
      <w:r w:rsidR="7E19632F" w:rsidRPr="00A90691">
        <w:rPr>
          <w:color w:val="17365D" w:themeColor="text2" w:themeShade="BF"/>
        </w:rPr>
        <w:t xml:space="preserve">Latvijas iedzīvotāju īpašumā esošais krājobligāciju apjoms 2024. gada beigās sasniedza 322 milj. </w:t>
      </w:r>
      <w:r w:rsidR="7E19632F" w:rsidRPr="00A90691">
        <w:rPr>
          <w:i/>
          <w:iCs/>
          <w:color w:val="17365D" w:themeColor="text2" w:themeShade="BF"/>
        </w:rPr>
        <w:t>euro</w:t>
      </w:r>
      <w:r w:rsidR="7E19632F" w:rsidRPr="00A90691">
        <w:rPr>
          <w:color w:val="17365D" w:themeColor="text2" w:themeShade="BF"/>
        </w:rPr>
        <w:t xml:space="preserve">, gada laikā palielinoties par aptuveni 70 milj. </w:t>
      </w:r>
      <w:r w:rsidR="7E19632F" w:rsidRPr="00A90691">
        <w:rPr>
          <w:i/>
          <w:iCs/>
          <w:color w:val="17365D" w:themeColor="text2" w:themeShade="BF"/>
        </w:rPr>
        <w:t>euro</w:t>
      </w:r>
      <w:r w:rsidR="7E19632F" w:rsidRPr="00A90691">
        <w:rPr>
          <w:color w:val="17365D" w:themeColor="text2" w:themeShade="BF"/>
        </w:rPr>
        <w:t xml:space="preserve">. </w:t>
      </w:r>
    </w:p>
    <w:p w14:paraId="23ABDB19" w14:textId="527874A1" w:rsidR="0036097F" w:rsidRPr="00FA1A18" w:rsidRDefault="00E47518" w:rsidP="00972F33">
      <w:pPr>
        <w:pStyle w:val="Pamatteksts1"/>
        <w:spacing w:line="288" w:lineRule="auto"/>
        <w:rPr>
          <w:color w:val="17365D"/>
        </w:rPr>
      </w:pPr>
      <w:r w:rsidRPr="00FA1A18">
        <w:rPr>
          <w:color w:val="17365D"/>
        </w:rPr>
        <w:t>2</w:t>
      </w:r>
      <w:r w:rsidR="003A584F" w:rsidRPr="00FA1A18">
        <w:rPr>
          <w:color w:val="17365D"/>
        </w:rPr>
        <w:t>0</w:t>
      </w:r>
      <w:r w:rsidR="003E2D75" w:rsidRPr="00FA1A18">
        <w:rPr>
          <w:color w:val="17365D"/>
        </w:rPr>
        <w:t>2</w:t>
      </w:r>
      <w:r w:rsidR="00FA1A18" w:rsidRPr="00FA1A18">
        <w:rPr>
          <w:color w:val="17365D"/>
        </w:rPr>
        <w:t>4</w:t>
      </w:r>
      <w:r w:rsidR="004459CA" w:rsidRPr="00FA1A18">
        <w:rPr>
          <w:color w:val="17365D"/>
        </w:rPr>
        <w:t>. gadā valsts budžets izpildīts, īstenojot likumā “</w:t>
      </w:r>
      <w:r w:rsidR="00187766" w:rsidRPr="00FA1A18">
        <w:rPr>
          <w:bCs/>
          <w:color w:val="17365D"/>
        </w:rPr>
        <w:t>Par valsts budžetu 202</w:t>
      </w:r>
      <w:r w:rsidR="00FA1A18" w:rsidRPr="00FA1A18">
        <w:rPr>
          <w:bCs/>
          <w:color w:val="17365D"/>
        </w:rPr>
        <w:t>4</w:t>
      </w:r>
      <w:r w:rsidR="00187766" w:rsidRPr="00FA1A18">
        <w:rPr>
          <w:bCs/>
          <w:color w:val="17365D"/>
        </w:rPr>
        <w:t>.</w:t>
      </w:r>
      <w:r w:rsidR="004A4309">
        <w:rPr>
          <w:bCs/>
          <w:color w:val="17365D"/>
        </w:rPr>
        <w:t> </w:t>
      </w:r>
      <w:r w:rsidR="00187766" w:rsidRPr="00FA1A18">
        <w:rPr>
          <w:bCs/>
          <w:color w:val="17365D"/>
        </w:rPr>
        <w:t>gadam un budžeta ietvaru 202</w:t>
      </w:r>
      <w:r w:rsidR="00716A91">
        <w:rPr>
          <w:bCs/>
          <w:color w:val="17365D"/>
        </w:rPr>
        <w:t>4</w:t>
      </w:r>
      <w:r w:rsidR="00187766" w:rsidRPr="00FA1A18">
        <w:rPr>
          <w:bCs/>
          <w:color w:val="17365D"/>
        </w:rPr>
        <w:t>., 202</w:t>
      </w:r>
      <w:r w:rsidR="00716A91">
        <w:rPr>
          <w:bCs/>
          <w:color w:val="17365D"/>
        </w:rPr>
        <w:t>5</w:t>
      </w:r>
      <w:r w:rsidR="00187766" w:rsidRPr="00FA1A18">
        <w:rPr>
          <w:bCs/>
          <w:color w:val="17365D"/>
        </w:rPr>
        <w:t>. un 202</w:t>
      </w:r>
      <w:r w:rsidR="00716A91">
        <w:rPr>
          <w:bCs/>
          <w:color w:val="17365D"/>
        </w:rPr>
        <w:t>6</w:t>
      </w:r>
      <w:r w:rsidR="00187766" w:rsidRPr="00FA1A18">
        <w:rPr>
          <w:bCs/>
          <w:color w:val="17365D"/>
        </w:rPr>
        <w:t>.</w:t>
      </w:r>
      <w:r w:rsidR="004A4309">
        <w:rPr>
          <w:bCs/>
          <w:color w:val="17365D"/>
        </w:rPr>
        <w:t> </w:t>
      </w:r>
      <w:r w:rsidR="00187766" w:rsidRPr="00FA1A18">
        <w:rPr>
          <w:bCs/>
          <w:color w:val="17365D"/>
        </w:rPr>
        <w:t>gadam</w:t>
      </w:r>
      <w:r w:rsidR="004459CA" w:rsidRPr="00FA1A18">
        <w:rPr>
          <w:color w:val="17365D"/>
        </w:rPr>
        <w:t>” noteikt</w:t>
      </w:r>
      <w:r w:rsidR="00187766" w:rsidRPr="00FA1A18">
        <w:rPr>
          <w:color w:val="17365D"/>
        </w:rPr>
        <w:t>o</w:t>
      </w:r>
      <w:r w:rsidR="004459CA" w:rsidRPr="00FA1A18">
        <w:rPr>
          <w:color w:val="17365D"/>
        </w:rPr>
        <w:t xml:space="preserve">s </w:t>
      </w:r>
      <w:r w:rsidR="00187766" w:rsidRPr="00FA1A18">
        <w:rPr>
          <w:color w:val="17365D"/>
        </w:rPr>
        <w:t>vidēja termiņa budžeta politikas prioritāros attīstības virzienus</w:t>
      </w:r>
      <w:r w:rsidR="004459CA" w:rsidRPr="00FA1A18">
        <w:rPr>
          <w:color w:val="17365D"/>
        </w:rPr>
        <w:t xml:space="preserve"> – </w:t>
      </w:r>
      <w:r w:rsidR="00187766" w:rsidRPr="00FA1A18">
        <w:rPr>
          <w:color w:val="17365D"/>
        </w:rPr>
        <w:t xml:space="preserve">drošība, </w:t>
      </w:r>
      <w:r w:rsidR="00716A91">
        <w:rPr>
          <w:color w:val="17365D"/>
        </w:rPr>
        <w:t xml:space="preserve">veselība, </w:t>
      </w:r>
      <w:r w:rsidR="00187766" w:rsidRPr="00FA1A18">
        <w:rPr>
          <w:color w:val="17365D"/>
        </w:rPr>
        <w:t>izglītība</w:t>
      </w:r>
      <w:r w:rsidR="004459CA" w:rsidRPr="00FA1A18">
        <w:rPr>
          <w:color w:val="17365D"/>
        </w:rPr>
        <w:t>.</w:t>
      </w:r>
    </w:p>
    <w:p w14:paraId="0E02112F" w14:textId="25085C6D" w:rsidR="00DD5E8B" w:rsidRDefault="00B25603" w:rsidP="00DD5E8B">
      <w:pPr>
        <w:spacing w:line="288" w:lineRule="auto"/>
        <w:rPr>
          <w:noProof/>
          <w:highlight w:val="yellow"/>
        </w:rPr>
      </w:pPr>
      <w:r w:rsidRPr="00A41153">
        <w:rPr>
          <w:noProof/>
        </w:rPr>
        <w:t>K</w:t>
      </w:r>
      <w:r w:rsidR="00DE3ABD" w:rsidRPr="00A41153">
        <w:rPr>
          <w:noProof/>
        </w:rPr>
        <w:t xml:space="preserve">onsolidētajā kopbudžetā </w:t>
      </w:r>
      <w:r w:rsidR="008735BE" w:rsidRPr="00A41153">
        <w:rPr>
          <w:noProof/>
        </w:rPr>
        <w:t>(valsts un pašvaldību budžetu izpilde</w:t>
      </w:r>
      <w:r w:rsidR="008735BE" w:rsidRPr="00A41153">
        <w:rPr>
          <w:noProof/>
          <w:vertAlign w:val="superscript"/>
        </w:rPr>
        <w:footnoteReference w:id="7"/>
      </w:r>
      <w:r w:rsidR="008735BE" w:rsidRPr="00A41153">
        <w:rPr>
          <w:noProof/>
        </w:rPr>
        <w:t xml:space="preserve">) </w:t>
      </w:r>
      <w:r w:rsidR="009F2874" w:rsidRPr="00A41153">
        <w:rPr>
          <w:noProof/>
        </w:rPr>
        <w:t>2024.</w:t>
      </w:r>
      <w:r w:rsidR="004A4309">
        <w:rPr>
          <w:noProof/>
        </w:rPr>
        <w:t> </w:t>
      </w:r>
      <w:r w:rsidR="009F2874" w:rsidRPr="00A41153">
        <w:rPr>
          <w:noProof/>
        </w:rPr>
        <w:t xml:space="preserve">gadā </w:t>
      </w:r>
      <w:r w:rsidR="3DD73994" w:rsidRPr="00A41153">
        <w:rPr>
          <w:noProof/>
        </w:rPr>
        <w:t>fiksēts</w:t>
      </w:r>
      <w:r w:rsidR="00DE3ABD" w:rsidRPr="00A41153">
        <w:rPr>
          <w:noProof/>
        </w:rPr>
        <w:t xml:space="preserve"> </w:t>
      </w:r>
      <w:r w:rsidR="008735BE" w:rsidRPr="00A41153">
        <w:rPr>
          <w:noProof/>
        </w:rPr>
        <w:t xml:space="preserve">finansiālais deficīts </w:t>
      </w:r>
      <w:r w:rsidR="009F2874" w:rsidRPr="008A1461">
        <w:rPr>
          <w:noProof/>
        </w:rPr>
        <w:t>7</w:t>
      </w:r>
      <w:r w:rsidR="00BA3B70" w:rsidRPr="008A1461">
        <w:rPr>
          <w:noProof/>
        </w:rPr>
        <w:t>00,4</w:t>
      </w:r>
      <w:r w:rsidR="004A4309" w:rsidRPr="008A1461">
        <w:rPr>
          <w:noProof/>
        </w:rPr>
        <w:t> </w:t>
      </w:r>
      <w:r w:rsidR="008735BE" w:rsidRPr="008A1461">
        <w:rPr>
          <w:noProof/>
        </w:rPr>
        <w:t>milj. </w:t>
      </w:r>
      <w:r w:rsidR="00CC5737" w:rsidRPr="008A1461">
        <w:rPr>
          <w:i/>
          <w:noProof/>
        </w:rPr>
        <w:t>euro</w:t>
      </w:r>
      <w:r w:rsidR="00DE3ABD" w:rsidRPr="008A1461">
        <w:rPr>
          <w:noProof/>
        </w:rPr>
        <w:t>,</w:t>
      </w:r>
      <w:r w:rsidR="00DE3ABD" w:rsidRPr="00A41153">
        <w:rPr>
          <w:noProof/>
        </w:rPr>
        <w:t xml:space="preserve"> kas </w:t>
      </w:r>
      <w:r w:rsidR="006C2D16" w:rsidRPr="00A41153">
        <w:rPr>
          <w:noProof/>
        </w:rPr>
        <w:t xml:space="preserve">ir par </w:t>
      </w:r>
      <w:r w:rsidR="00BA3B70">
        <w:rPr>
          <w:noProof/>
        </w:rPr>
        <w:t>629</w:t>
      </w:r>
      <w:r w:rsidR="00A41153" w:rsidRPr="00A41153">
        <w:rPr>
          <w:noProof/>
        </w:rPr>
        <w:t>,</w:t>
      </w:r>
      <w:r w:rsidR="00BA3B70">
        <w:rPr>
          <w:noProof/>
        </w:rPr>
        <w:t>6</w:t>
      </w:r>
      <w:r w:rsidR="004A4309">
        <w:rPr>
          <w:noProof/>
        </w:rPr>
        <w:t> </w:t>
      </w:r>
      <w:r w:rsidR="006C2D16" w:rsidRPr="00A41153">
        <w:rPr>
          <w:noProof/>
        </w:rPr>
        <w:t>milj. </w:t>
      </w:r>
      <w:r w:rsidR="006C2D16" w:rsidRPr="00A41153">
        <w:rPr>
          <w:i/>
          <w:noProof/>
        </w:rPr>
        <w:t>euro</w:t>
      </w:r>
      <w:r w:rsidR="006C2D16" w:rsidRPr="00A41153">
        <w:rPr>
          <w:noProof/>
        </w:rPr>
        <w:t xml:space="preserve"> </w:t>
      </w:r>
      <w:r w:rsidR="0079719F" w:rsidRPr="00A41153">
        <w:rPr>
          <w:noProof/>
        </w:rPr>
        <w:t>mazāk</w:t>
      </w:r>
      <w:r w:rsidR="006C2D16" w:rsidRPr="00A41153">
        <w:rPr>
          <w:noProof/>
        </w:rPr>
        <w:t xml:space="preserve"> </w:t>
      </w:r>
      <w:r w:rsidR="002823FF" w:rsidRPr="00A41153">
        <w:rPr>
          <w:noProof/>
        </w:rPr>
        <w:t xml:space="preserve">salīdzinājumā ar </w:t>
      </w:r>
      <w:r w:rsidR="001F22B6" w:rsidRPr="00A41153">
        <w:rPr>
          <w:noProof/>
        </w:rPr>
        <w:t>20</w:t>
      </w:r>
      <w:r w:rsidR="0079719F" w:rsidRPr="00A41153">
        <w:rPr>
          <w:noProof/>
        </w:rPr>
        <w:t>2</w:t>
      </w:r>
      <w:r w:rsidR="009F2874" w:rsidRPr="00A41153">
        <w:rPr>
          <w:noProof/>
        </w:rPr>
        <w:t>3</w:t>
      </w:r>
      <w:r w:rsidR="00BB24D8" w:rsidRPr="00A41153">
        <w:rPr>
          <w:noProof/>
        </w:rPr>
        <w:t>. </w:t>
      </w:r>
      <w:r w:rsidR="001F22B6" w:rsidRPr="00A41153">
        <w:rPr>
          <w:noProof/>
        </w:rPr>
        <w:t>g</w:t>
      </w:r>
      <w:r w:rsidR="002823FF" w:rsidRPr="00A41153">
        <w:rPr>
          <w:noProof/>
        </w:rPr>
        <w:t>ad</w:t>
      </w:r>
      <w:r w:rsidR="006C2D16" w:rsidRPr="00A41153">
        <w:rPr>
          <w:noProof/>
        </w:rPr>
        <w:t>a rādītāju</w:t>
      </w:r>
      <w:r w:rsidR="00DE3ABD" w:rsidRPr="00A41153">
        <w:rPr>
          <w:noProof/>
        </w:rPr>
        <w:t>.</w:t>
      </w:r>
      <w:r w:rsidR="00DE3ABD" w:rsidRPr="009F2874">
        <w:rPr>
          <w:noProof/>
        </w:rPr>
        <w:t xml:space="preserve"> </w:t>
      </w:r>
      <w:bookmarkStart w:id="0" w:name="_Hlk157604106"/>
      <w:r w:rsidR="000A28DB">
        <w:rPr>
          <w:noProof/>
        </w:rPr>
        <w:t xml:space="preserve">Deficīta samazinājumu noteica </w:t>
      </w:r>
      <w:r w:rsidR="00320B91" w:rsidRPr="00320B91">
        <w:rPr>
          <w:noProof/>
        </w:rPr>
        <w:t>ārvalstu finanšu palīdzības (</w:t>
      </w:r>
      <w:r w:rsidR="00320B91" w:rsidRPr="00B374DE">
        <w:rPr>
          <w:noProof/>
        </w:rPr>
        <w:t xml:space="preserve">turpmāk – </w:t>
      </w:r>
      <w:r w:rsidR="00320B91" w:rsidRPr="00320B91">
        <w:rPr>
          <w:noProof/>
        </w:rPr>
        <w:t xml:space="preserve">ĀFP) </w:t>
      </w:r>
      <w:r w:rsidR="00320B91">
        <w:rPr>
          <w:noProof/>
        </w:rPr>
        <w:t xml:space="preserve">un nodokļu ieņēmumu pieaugums, kā arī </w:t>
      </w:r>
      <w:r w:rsidR="009F2874" w:rsidRPr="009F2874">
        <w:rPr>
          <w:noProof/>
        </w:rPr>
        <w:t xml:space="preserve">mazāki </w:t>
      </w:r>
      <w:r w:rsidR="6E178A4F" w:rsidRPr="009F2874">
        <w:rPr>
          <w:noProof/>
        </w:rPr>
        <w:t>nekā plānots</w:t>
      </w:r>
      <w:r w:rsidR="009F2874" w:rsidRPr="009F2874">
        <w:rPr>
          <w:noProof/>
        </w:rPr>
        <w:t xml:space="preserve"> izdevumi gan ES fondu projektiem, gan valsts pamatfunkcijām</w:t>
      </w:r>
      <w:r w:rsidR="000A28DB">
        <w:rPr>
          <w:noProof/>
        </w:rPr>
        <w:t xml:space="preserve">. </w:t>
      </w:r>
      <w:bookmarkEnd w:id="0"/>
    </w:p>
    <w:p w14:paraId="22812BD8" w14:textId="59251CEF" w:rsidR="00183C2D" w:rsidRPr="00051A5E" w:rsidRDefault="00DE3ABD" w:rsidP="00D14FB8">
      <w:pPr>
        <w:spacing w:line="288" w:lineRule="auto"/>
        <w:rPr>
          <w:noProof/>
        </w:rPr>
      </w:pPr>
      <w:r w:rsidRPr="000A28DB">
        <w:rPr>
          <w:noProof/>
        </w:rPr>
        <w:t>Konsolidētā kopbudžeta ieņē</w:t>
      </w:r>
      <w:r w:rsidR="00AF20FE" w:rsidRPr="000A28DB">
        <w:rPr>
          <w:noProof/>
        </w:rPr>
        <w:t>mumos 202</w:t>
      </w:r>
      <w:r w:rsidR="000A28DB" w:rsidRPr="000A28DB">
        <w:rPr>
          <w:noProof/>
        </w:rPr>
        <w:t>4</w:t>
      </w:r>
      <w:r w:rsidR="00AF20FE" w:rsidRPr="000A28DB">
        <w:rPr>
          <w:noProof/>
        </w:rPr>
        <w:t xml:space="preserve">. gadā </w:t>
      </w:r>
      <w:r w:rsidR="00AF20FE" w:rsidRPr="00A41153">
        <w:rPr>
          <w:noProof/>
        </w:rPr>
        <w:t xml:space="preserve">saņemti </w:t>
      </w:r>
      <w:r w:rsidR="00A41153" w:rsidRPr="00A41153">
        <w:rPr>
          <w:noProof/>
        </w:rPr>
        <w:t>17</w:t>
      </w:r>
      <w:r w:rsidR="0072624C" w:rsidRPr="00A41153">
        <w:rPr>
          <w:noProof/>
        </w:rPr>
        <w:t>,</w:t>
      </w:r>
      <w:r w:rsidR="00BA3B70">
        <w:rPr>
          <w:noProof/>
        </w:rPr>
        <w:t>2</w:t>
      </w:r>
      <w:r w:rsidR="00AF20FE" w:rsidRPr="00A41153">
        <w:rPr>
          <w:noProof/>
        </w:rPr>
        <w:t> </w:t>
      </w:r>
      <w:bookmarkStart w:id="1" w:name="_Hlk194931807"/>
      <w:r w:rsidR="00FB0659" w:rsidRPr="00A41153">
        <w:rPr>
          <w:noProof/>
        </w:rPr>
        <w:t>m</w:t>
      </w:r>
      <w:r w:rsidR="00DA6BD2" w:rsidRPr="00A41153">
        <w:rPr>
          <w:noProof/>
        </w:rPr>
        <w:t>l</w:t>
      </w:r>
      <w:r w:rsidRPr="00A41153">
        <w:rPr>
          <w:noProof/>
        </w:rPr>
        <w:t>jrd</w:t>
      </w:r>
      <w:r w:rsidR="00FB0659" w:rsidRPr="00A41153">
        <w:rPr>
          <w:noProof/>
        </w:rPr>
        <w:t>.</w:t>
      </w:r>
      <w:r w:rsidR="00AF20FE" w:rsidRPr="00A41153">
        <w:rPr>
          <w:noProof/>
        </w:rPr>
        <w:t> </w:t>
      </w:r>
      <w:r w:rsidR="00CC5737" w:rsidRPr="00A41153">
        <w:rPr>
          <w:i/>
          <w:noProof/>
        </w:rPr>
        <w:t>euro</w:t>
      </w:r>
      <w:bookmarkEnd w:id="1"/>
      <w:r w:rsidRPr="00A41153">
        <w:rPr>
          <w:noProof/>
        </w:rPr>
        <w:t>, kas</w:t>
      </w:r>
      <w:r w:rsidRPr="000A28DB">
        <w:rPr>
          <w:noProof/>
        </w:rPr>
        <w:t xml:space="preserve"> ir par </w:t>
      </w:r>
      <w:r w:rsidR="00A8349D" w:rsidRPr="000A28DB">
        <w:rPr>
          <w:noProof/>
        </w:rPr>
        <w:t>1</w:t>
      </w:r>
      <w:r w:rsidR="0006025E" w:rsidRPr="000A28DB">
        <w:rPr>
          <w:noProof/>
        </w:rPr>
        <w:t>,</w:t>
      </w:r>
      <w:r w:rsidR="000A28DB" w:rsidRPr="000A28DB">
        <w:rPr>
          <w:noProof/>
        </w:rPr>
        <w:t>5</w:t>
      </w:r>
      <w:r w:rsidR="00CC5737" w:rsidRPr="000A28DB">
        <w:rPr>
          <w:noProof/>
        </w:rPr>
        <w:t> </w:t>
      </w:r>
      <w:r w:rsidRPr="000A28DB">
        <w:rPr>
          <w:noProof/>
        </w:rPr>
        <w:t>mlj</w:t>
      </w:r>
      <w:r w:rsidR="0072624C" w:rsidRPr="000A28DB">
        <w:rPr>
          <w:noProof/>
        </w:rPr>
        <w:t>rd</w:t>
      </w:r>
      <w:r w:rsidRPr="000A28DB">
        <w:rPr>
          <w:noProof/>
        </w:rPr>
        <w:t xml:space="preserve">. </w:t>
      </w:r>
      <w:r w:rsidR="00CC5737" w:rsidRPr="000A28DB">
        <w:rPr>
          <w:i/>
          <w:noProof/>
        </w:rPr>
        <w:t>euro</w:t>
      </w:r>
      <w:r w:rsidRPr="000A28DB">
        <w:rPr>
          <w:noProof/>
        </w:rPr>
        <w:t xml:space="preserve"> jeb </w:t>
      </w:r>
      <w:r w:rsidR="0006025E" w:rsidRPr="000A28DB">
        <w:rPr>
          <w:noProof/>
        </w:rPr>
        <w:t>9</w:t>
      </w:r>
      <w:r w:rsidR="00342386" w:rsidRPr="000A28DB">
        <w:rPr>
          <w:noProof/>
        </w:rPr>
        <w:t>,</w:t>
      </w:r>
      <w:r w:rsidR="00BA3B70">
        <w:rPr>
          <w:noProof/>
        </w:rPr>
        <w:t>9</w:t>
      </w:r>
      <w:r w:rsidR="0072624C" w:rsidRPr="000A28DB">
        <w:rPr>
          <w:noProof/>
        </w:rPr>
        <w:t> </w:t>
      </w:r>
      <w:r w:rsidRPr="000A28DB">
        <w:rPr>
          <w:noProof/>
        </w:rPr>
        <w:t xml:space="preserve">% </w:t>
      </w:r>
      <w:r w:rsidR="0072624C" w:rsidRPr="000A28DB">
        <w:rPr>
          <w:noProof/>
        </w:rPr>
        <w:t>vairāk, salīdzinot ar 202</w:t>
      </w:r>
      <w:r w:rsidR="000A28DB">
        <w:rPr>
          <w:noProof/>
        </w:rPr>
        <w:t>3</w:t>
      </w:r>
      <w:r w:rsidRPr="000A28DB">
        <w:rPr>
          <w:noProof/>
        </w:rPr>
        <w:t>.</w:t>
      </w:r>
      <w:r w:rsidR="00C61AA7" w:rsidRPr="000A28DB">
        <w:rPr>
          <w:noProof/>
        </w:rPr>
        <w:t> </w:t>
      </w:r>
      <w:r w:rsidRPr="000A28DB">
        <w:rPr>
          <w:noProof/>
        </w:rPr>
        <w:t>gadu.</w:t>
      </w:r>
      <w:r w:rsidRPr="000A28DB">
        <w:rPr>
          <w:rFonts w:eastAsia="Calibri"/>
          <w:color w:val="8DB3E2" w:themeColor="text2" w:themeTint="66"/>
          <w:kern w:val="24"/>
          <w:lang w:eastAsia="en-US"/>
        </w:rPr>
        <w:t xml:space="preserve"> </w:t>
      </w:r>
      <w:r w:rsidR="000A28DB" w:rsidRPr="000A28DB">
        <w:rPr>
          <w:noProof/>
        </w:rPr>
        <w:t xml:space="preserve">Ieņēmumu kāpumu lielā mērā skaidro lielāki saņemtie </w:t>
      </w:r>
      <w:bookmarkStart w:id="2" w:name="_Hlk195171814"/>
      <w:r w:rsidR="000A28DB" w:rsidRPr="000A28DB">
        <w:rPr>
          <w:noProof/>
        </w:rPr>
        <w:t xml:space="preserve">ĀFP </w:t>
      </w:r>
      <w:bookmarkEnd w:id="2"/>
      <w:r w:rsidR="000A28DB" w:rsidRPr="000A28DB">
        <w:rPr>
          <w:noProof/>
        </w:rPr>
        <w:t>ieņēmumi 1,8</w:t>
      </w:r>
      <w:r w:rsidR="004A4309">
        <w:rPr>
          <w:noProof/>
        </w:rPr>
        <w:t> </w:t>
      </w:r>
      <w:r w:rsidR="000A28DB" w:rsidRPr="000A28DB">
        <w:rPr>
          <w:noProof/>
        </w:rPr>
        <w:t>mljrd. </w:t>
      </w:r>
      <w:r w:rsidR="000A28DB" w:rsidRPr="000A28DB">
        <w:rPr>
          <w:i/>
          <w:noProof/>
        </w:rPr>
        <w:t>euro</w:t>
      </w:r>
      <w:r w:rsidR="000A28DB" w:rsidRPr="000A28DB">
        <w:rPr>
          <w:noProof/>
        </w:rPr>
        <w:t>, kas bija par 3</w:t>
      </w:r>
      <w:r w:rsidR="00BA3B70">
        <w:rPr>
          <w:noProof/>
        </w:rPr>
        <w:t>57</w:t>
      </w:r>
      <w:r w:rsidR="000A28DB" w:rsidRPr="000A28DB">
        <w:rPr>
          <w:noProof/>
        </w:rPr>
        <w:t>,</w:t>
      </w:r>
      <w:r w:rsidR="00BA3B70">
        <w:rPr>
          <w:noProof/>
        </w:rPr>
        <w:t>6</w:t>
      </w:r>
      <w:r w:rsidR="004A4309">
        <w:rPr>
          <w:noProof/>
        </w:rPr>
        <w:t> </w:t>
      </w:r>
      <w:r w:rsidR="000A28DB" w:rsidRPr="000A28DB">
        <w:rPr>
          <w:noProof/>
        </w:rPr>
        <w:t xml:space="preserve">milj. </w:t>
      </w:r>
      <w:r w:rsidR="000A28DB" w:rsidRPr="000A28DB">
        <w:rPr>
          <w:i/>
          <w:noProof/>
        </w:rPr>
        <w:t>euro</w:t>
      </w:r>
      <w:r w:rsidR="000A28DB" w:rsidRPr="000A28DB">
        <w:rPr>
          <w:noProof/>
        </w:rPr>
        <w:t xml:space="preserve"> jeb 2</w:t>
      </w:r>
      <w:r w:rsidR="00BA3B70">
        <w:rPr>
          <w:noProof/>
        </w:rPr>
        <w:t>4</w:t>
      </w:r>
      <w:r w:rsidR="000A28DB" w:rsidRPr="000A28DB">
        <w:rPr>
          <w:noProof/>
        </w:rPr>
        <w:t>,</w:t>
      </w:r>
      <w:r w:rsidR="00BA3B70">
        <w:rPr>
          <w:noProof/>
        </w:rPr>
        <w:t>2</w:t>
      </w:r>
      <w:r w:rsidR="000A28DB">
        <w:rPr>
          <w:noProof/>
        </w:rPr>
        <w:t> </w:t>
      </w:r>
      <w:r w:rsidR="000A28DB" w:rsidRPr="000A28DB">
        <w:rPr>
          <w:noProof/>
        </w:rPr>
        <w:t>% vairāk nekā pērn</w:t>
      </w:r>
      <w:r w:rsidR="00815401">
        <w:rPr>
          <w:noProof/>
        </w:rPr>
        <w:t xml:space="preserve">. </w:t>
      </w:r>
      <w:r w:rsidR="000A28DB">
        <w:rPr>
          <w:noProof/>
        </w:rPr>
        <w:t>N</w:t>
      </w:r>
      <w:r w:rsidR="000A28DB" w:rsidRPr="000A28DB">
        <w:rPr>
          <w:noProof/>
        </w:rPr>
        <w:t>odokļu ieņēmumi pēc krituma Covid-19 gados un tad straujā pieauguma inflācijas un energoresursu cenu kāpuma periodā pakāpeniski atgriežas pie pieauguma, kāds bija vērojams pirmspandēmijas periodā (vidēji 6</w:t>
      </w:r>
      <w:r w:rsidR="00F02147">
        <w:rPr>
          <w:noProof/>
        </w:rPr>
        <w:t xml:space="preserve"> – </w:t>
      </w:r>
      <w:r w:rsidR="000A28DB" w:rsidRPr="000A28DB">
        <w:rPr>
          <w:noProof/>
        </w:rPr>
        <w:t>7</w:t>
      </w:r>
      <w:r w:rsidR="004A4309">
        <w:rPr>
          <w:noProof/>
        </w:rPr>
        <w:t> </w:t>
      </w:r>
      <w:r w:rsidR="000A28DB" w:rsidRPr="000A28DB">
        <w:rPr>
          <w:noProof/>
        </w:rPr>
        <w:t>% gadā faktiskajās cenās). Kaut ekonomiskā izaugsme 2024.</w:t>
      </w:r>
      <w:r w:rsidR="004A4309">
        <w:rPr>
          <w:noProof/>
        </w:rPr>
        <w:t> </w:t>
      </w:r>
      <w:r w:rsidR="000A28DB" w:rsidRPr="000A28DB">
        <w:rPr>
          <w:noProof/>
        </w:rPr>
        <w:t>gadam ir zema, nodokļu ieņēmumu pieaugums to pārsniedza, galvenokārt pateicoties augstam darbaspēka nodokļu pieaugumam un papildus ieņēmumiem no banku sektora.</w:t>
      </w:r>
      <w:r w:rsidR="00342386" w:rsidRPr="00051A5E">
        <w:rPr>
          <w:noProof/>
        </w:rPr>
        <w:t xml:space="preserve"> </w:t>
      </w:r>
    </w:p>
    <w:p w14:paraId="507BC4F3" w14:textId="7C2FB151" w:rsidR="00417E75" w:rsidRPr="00D17FB5" w:rsidRDefault="00DE3ABD" w:rsidP="0083136A">
      <w:pPr>
        <w:spacing w:line="288" w:lineRule="auto"/>
        <w:rPr>
          <w:noProof/>
        </w:rPr>
      </w:pPr>
      <w:r w:rsidRPr="00D17FB5">
        <w:rPr>
          <w:noProof/>
        </w:rPr>
        <w:t>Konsol</w:t>
      </w:r>
      <w:r w:rsidR="00AF20FE" w:rsidRPr="00D17FB5">
        <w:rPr>
          <w:noProof/>
        </w:rPr>
        <w:t xml:space="preserve">idētā kopbudžeta izdevumi </w:t>
      </w:r>
      <w:r w:rsidR="00342386" w:rsidRPr="00D17FB5">
        <w:rPr>
          <w:noProof/>
        </w:rPr>
        <w:t>202</w:t>
      </w:r>
      <w:r w:rsidR="00AA5DF0" w:rsidRPr="00D17FB5">
        <w:rPr>
          <w:noProof/>
        </w:rPr>
        <w:t>4</w:t>
      </w:r>
      <w:r w:rsidR="00342386" w:rsidRPr="00D17FB5">
        <w:rPr>
          <w:noProof/>
        </w:rPr>
        <w:t xml:space="preserve">. gadā </w:t>
      </w:r>
      <w:r w:rsidR="0006025E" w:rsidRPr="00D17FB5">
        <w:rPr>
          <w:noProof/>
        </w:rPr>
        <w:t>sasniedza 1</w:t>
      </w:r>
      <w:r w:rsidR="00AA5DF0" w:rsidRPr="00D17FB5">
        <w:rPr>
          <w:noProof/>
        </w:rPr>
        <w:t>7</w:t>
      </w:r>
      <w:r w:rsidR="00342386" w:rsidRPr="00D17FB5">
        <w:rPr>
          <w:noProof/>
        </w:rPr>
        <w:t>,9</w:t>
      </w:r>
      <w:r w:rsidR="00051A5E">
        <w:rPr>
          <w:noProof/>
        </w:rPr>
        <w:t> </w:t>
      </w:r>
      <w:r w:rsidR="00342386" w:rsidRPr="00D17FB5">
        <w:rPr>
          <w:noProof/>
        </w:rPr>
        <w:t>mljrd. </w:t>
      </w:r>
      <w:r w:rsidR="00342386" w:rsidRPr="00D17FB5">
        <w:rPr>
          <w:i/>
          <w:noProof/>
        </w:rPr>
        <w:t>euro</w:t>
      </w:r>
      <w:r w:rsidR="00342386" w:rsidRPr="00D17FB5">
        <w:rPr>
          <w:noProof/>
        </w:rPr>
        <w:t xml:space="preserve">, kas ir par </w:t>
      </w:r>
      <w:r w:rsidR="00AA5DF0" w:rsidRPr="00D17FB5">
        <w:rPr>
          <w:noProof/>
        </w:rPr>
        <w:t>9</w:t>
      </w:r>
      <w:r w:rsidR="00BA3B70">
        <w:rPr>
          <w:noProof/>
        </w:rPr>
        <w:t>13</w:t>
      </w:r>
      <w:r w:rsidR="00AA5DF0" w:rsidRPr="00D17FB5">
        <w:rPr>
          <w:noProof/>
        </w:rPr>
        <w:t>,</w:t>
      </w:r>
      <w:r w:rsidR="00BA3B70">
        <w:rPr>
          <w:noProof/>
        </w:rPr>
        <w:t>5</w:t>
      </w:r>
      <w:r w:rsidR="00051A5E">
        <w:rPr>
          <w:noProof/>
        </w:rPr>
        <w:t> </w:t>
      </w:r>
      <w:r w:rsidR="00342386" w:rsidRPr="00D17FB5">
        <w:rPr>
          <w:noProof/>
        </w:rPr>
        <w:t>m</w:t>
      </w:r>
      <w:r w:rsidR="00AA5DF0" w:rsidRPr="00D17FB5">
        <w:rPr>
          <w:noProof/>
        </w:rPr>
        <w:t>i</w:t>
      </w:r>
      <w:r w:rsidR="00342386" w:rsidRPr="00D17FB5">
        <w:rPr>
          <w:noProof/>
        </w:rPr>
        <w:t>lj. </w:t>
      </w:r>
      <w:r w:rsidR="00342386" w:rsidRPr="00D17FB5">
        <w:rPr>
          <w:i/>
          <w:noProof/>
        </w:rPr>
        <w:t>euro</w:t>
      </w:r>
      <w:r w:rsidR="00342386" w:rsidRPr="00D17FB5">
        <w:rPr>
          <w:noProof/>
        </w:rPr>
        <w:t xml:space="preserve"> jeb </w:t>
      </w:r>
      <w:r w:rsidR="00D17FB5">
        <w:rPr>
          <w:noProof/>
        </w:rPr>
        <w:t>5</w:t>
      </w:r>
      <w:r w:rsidR="00AA5DF0" w:rsidRPr="00AA5DF0">
        <w:rPr>
          <w:noProof/>
        </w:rPr>
        <w:t>,4</w:t>
      </w:r>
      <w:r w:rsidR="00051A5E">
        <w:rPr>
          <w:noProof/>
        </w:rPr>
        <w:t> </w:t>
      </w:r>
      <w:r w:rsidR="00342386" w:rsidRPr="00D17FB5">
        <w:rPr>
          <w:noProof/>
        </w:rPr>
        <w:t>% vairāk nekā 202</w:t>
      </w:r>
      <w:r w:rsidR="00AA5DF0" w:rsidRPr="00D17FB5">
        <w:rPr>
          <w:noProof/>
        </w:rPr>
        <w:t>3</w:t>
      </w:r>
      <w:r w:rsidR="00342386" w:rsidRPr="00D17FB5">
        <w:rPr>
          <w:noProof/>
        </w:rPr>
        <w:t>.</w:t>
      </w:r>
      <w:r w:rsidR="00051A5E">
        <w:rPr>
          <w:noProof/>
        </w:rPr>
        <w:t> </w:t>
      </w:r>
      <w:r w:rsidR="00342386" w:rsidRPr="00D17FB5">
        <w:rPr>
          <w:noProof/>
        </w:rPr>
        <w:t>gadā</w:t>
      </w:r>
      <w:r w:rsidR="00320B91">
        <w:rPr>
          <w:noProof/>
        </w:rPr>
        <w:t>.</w:t>
      </w:r>
      <w:r w:rsidRPr="00320B91">
        <w:rPr>
          <w:noProof/>
        </w:rPr>
        <w:t xml:space="preserve"> </w:t>
      </w:r>
      <w:r w:rsidR="0072275C" w:rsidRPr="004670AA">
        <w:rPr>
          <w:noProof/>
        </w:rPr>
        <w:t>Lielākais izdevumu pieaugums novirzīts atlīdzībai un sociāla rakstura maksājumiem un pabalstiem, savukārt izdevumi ĀFP projektu īstenošanai bijuši zemāki kā gadu iepriekš.</w:t>
      </w:r>
    </w:p>
    <w:p w14:paraId="2648E3D8" w14:textId="529155C7" w:rsidR="00FE1023" w:rsidRPr="008A1461" w:rsidRDefault="00DE3ABD" w:rsidP="005F40C5">
      <w:pPr>
        <w:spacing w:line="288" w:lineRule="auto"/>
      </w:pPr>
      <w:r w:rsidRPr="00320B91">
        <w:rPr>
          <w:noProof/>
        </w:rPr>
        <w:t>Konsolidētā kopbudžetā kapitālie izdevumi 202</w:t>
      </w:r>
      <w:r w:rsidR="00320B91" w:rsidRPr="00320B91">
        <w:rPr>
          <w:noProof/>
        </w:rPr>
        <w:t>4</w:t>
      </w:r>
      <w:r w:rsidRPr="00320B91">
        <w:rPr>
          <w:noProof/>
        </w:rPr>
        <w:t>.</w:t>
      </w:r>
      <w:r w:rsidR="00051A5E">
        <w:rPr>
          <w:noProof/>
        </w:rPr>
        <w:t> </w:t>
      </w:r>
      <w:r w:rsidRPr="00320B91">
        <w:rPr>
          <w:noProof/>
        </w:rPr>
        <w:t xml:space="preserve">gadā veidoja </w:t>
      </w:r>
      <w:r w:rsidR="004D1CC1" w:rsidRPr="00320B91">
        <w:rPr>
          <w:noProof/>
        </w:rPr>
        <w:t>1</w:t>
      </w:r>
      <w:r w:rsidR="00320B91" w:rsidRPr="00320B91">
        <w:rPr>
          <w:noProof/>
        </w:rPr>
        <w:t>,</w:t>
      </w:r>
      <w:r w:rsidR="0006025E" w:rsidRPr="00320B91">
        <w:rPr>
          <w:noProof/>
        </w:rPr>
        <w:t>5</w:t>
      </w:r>
      <w:r w:rsidR="00051A5E">
        <w:rPr>
          <w:noProof/>
        </w:rPr>
        <w:t xml:space="preserve"> </w:t>
      </w:r>
      <w:r w:rsidRPr="00320B91">
        <w:rPr>
          <w:noProof/>
        </w:rPr>
        <w:t>mlj</w:t>
      </w:r>
      <w:r w:rsidR="00136DD1">
        <w:rPr>
          <w:noProof/>
        </w:rPr>
        <w:t>rd</w:t>
      </w:r>
      <w:r w:rsidRPr="00320B91">
        <w:rPr>
          <w:noProof/>
        </w:rPr>
        <w:t xml:space="preserve">. </w:t>
      </w:r>
      <w:r w:rsidR="00CD35D3" w:rsidRPr="00320B91">
        <w:rPr>
          <w:i/>
          <w:noProof/>
        </w:rPr>
        <w:t>euro</w:t>
      </w:r>
      <w:r w:rsidRPr="00320B91">
        <w:rPr>
          <w:noProof/>
        </w:rPr>
        <w:t xml:space="preserve">, par </w:t>
      </w:r>
      <w:r w:rsidR="00320B91" w:rsidRPr="00320B91">
        <w:rPr>
          <w:noProof/>
        </w:rPr>
        <w:t>92</w:t>
      </w:r>
      <w:r w:rsidR="00A8349D" w:rsidRPr="00320B91">
        <w:rPr>
          <w:noProof/>
        </w:rPr>
        <w:t>,</w:t>
      </w:r>
      <w:r w:rsidR="00320B91" w:rsidRPr="00320B91">
        <w:rPr>
          <w:noProof/>
        </w:rPr>
        <w:t>5</w:t>
      </w:r>
      <w:r w:rsidR="004D1CC1" w:rsidRPr="00320B91">
        <w:rPr>
          <w:noProof/>
        </w:rPr>
        <w:t> </w:t>
      </w:r>
      <w:r w:rsidRPr="00320B91">
        <w:rPr>
          <w:noProof/>
        </w:rPr>
        <w:t xml:space="preserve">milj. </w:t>
      </w:r>
      <w:r w:rsidR="00CD35D3" w:rsidRPr="00320B91">
        <w:rPr>
          <w:i/>
          <w:noProof/>
        </w:rPr>
        <w:t>euro</w:t>
      </w:r>
      <w:r w:rsidR="00CD35D3" w:rsidRPr="00320B91">
        <w:rPr>
          <w:noProof/>
        </w:rPr>
        <w:t xml:space="preserve"> jeb </w:t>
      </w:r>
      <w:r w:rsidR="00320B91" w:rsidRPr="00320B91">
        <w:rPr>
          <w:noProof/>
        </w:rPr>
        <w:t>6</w:t>
      </w:r>
      <w:r w:rsidR="0006025E" w:rsidRPr="00320B91">
        <w:rPr>
          <w:noProof/>
        </w:rPr>
        <w:t>,</w:t>
      </w:r>
      <w:r w:rsidR="00320B91" w:rsidRPr="00320B91">
        <w:rPr>
          <w:noProof/>
        </w:rPr>
        <w:t>3</w:t>
      </w:r>
      <w:r w:rsidR="00AF20FE" w:rsidRPr="00320B91">
        <w:rPr>
          <w:noProof/>
        </w:rPr>
        <w:t> </w:t>
      </w:r>
      <w:r w:rsidR="00CD35D3" w:rsidRPr="00320B91">
        <w:rPr>
          <w:noProof/>
        </w:rPr>
        <w:t>% pārsniedzot 20</w:t>
      </w:r>
      <w:r w:rsidR="00BE66CF" w:rsidRPr="00320B91">
        <w:rPr>
          <w:noProof/>
        </w:rPr>
        <w:t>2</w:t>
      </w:r>
      <w:r w:rsidR="00320B91" w:rsidRPr="00320B91">
        <w:rPr>
          <w:noProof/>
        </w:rPr>
        <w:t>3</w:t>
      </w:r>
      <w:r w:rsidR="00CD35D3" w:rsidRPr="00320B91">
        <w:rPr>
          <w:noProof/>
        </w:rPr>
        <w:t>. </w:t>
      </w:r>
      <w:r w:rsidR="00BE66CF" w:rsidRPr="00320B91">
        <w:rPr>
          <w:noProof/>
        </w:rPr>
        <w:t>gada līmeni</w:t>
      </w:r>
      <w:r w:rsidR="000213CB" w:rsidRPr="00320B91">
        <w:rPr>
          <w:noProof/>
        </w:rPr>
        <w:t>.</w:t>
      </w:r>
      <w:r w:rsidR="00BE66CF" w:rsidRPr="00320B91">
        <w:rPr>
          <w:rFonts w:ascii="RobustaTLPro-Regular" w:hAnsi="RobustaTLPro-Regular"/>
          <w:color w:val="212529"/>
          <w:sz w:val="23"/>
          <w:szCs w:val="23"/>
          <w:shd w:val="clear" w:color="auto" w:fill="FFFFFF"/>
        </w:rPr>
        <w:t xml:space="preserve"> </w:t>
      </w:r>
      <w:r w:rsidR="005F40C5" w:rsidRPr="00B33BD2">
        <w:rPr>
          <w:noProof/>
        </w:rPr>
        <w:t>V</w:t>
      </w:r>
      <w:r w:rsidR="00BE66CF" w:rsidRPr="00B33BD2">
        <w:rPr>
          <w:noProof/>
        </w:rPr>
        <w:t>alsts pamatbudžetā kapitālie izdevumi</w:t>
      </w:r>
      <w:r w:rsidR="00051A5E">
        <w:rPr>
          <w:noProof/>
        </w:rPr>
        <w:t xml:space="preserve"> </w:t>
      </w:r>
      <w:r w:rsidR="007C4FDD">
        <w:rPr>
          <w:noProof/>
        </w:rPr>
        <w:t xml:space="preserve">(neieskaitot transfertus starp budžeta līmeņiem) </w:t>
      </w:r>
      <w:r w:rsidR="00DD5E8B" w:rsidRPr="00B33BD2">
        <w:rPr>
          <w:noProof/>
        </w:rPr>
        <w:t>salīdzinājumā ar 202</w:t>
      </w:r>
      <w:r w:rsidR="00B33BD2" w:rsidRPr="00B33BD2">
        <w:rPr>
          <w:noProof/>
        </w:rPr>
        <w:t>3</w:t>
      </w:r>
      <w:r w:rsidR="00DD5E8B" w:rsidRPr="00B33BD2">
        <w:rPr>
          <w:noProof/>
        </w:rPr>
        <w:t xml:space="preserve">. gadu </w:t>
      </w:r>
      <w:r w:rsidR="00BE66CF" w:rsidRPr="00B33BD2">
        <w:rPr>
          <w:noProof/>
        </w:rPr>
        <w:t>pieauguši</w:t>
      </w:r>
      <w:r w:rsidR="00A01EA4" w:rsidRPr="00B33BD2">
        <w:rPr>
          <w:noProof/>
        </w:rPr>
        <w:t xml:space="preserve"> par </w:t>
      </w:r>
      <w:r w:rsidR="00B33BD2" w:rsidRPr="00B33BD2">
        <w:rPr>
          <w:noProof/>
        </w:rPr>
        <w:t>179</w:t>
      </w:r>
      <w:r w:rsidR="00A01EA4" w:rsidRPr="00B33BD2">
        <w:rPr>
          <w:noProof/>
        </w:rPr>
        <w:t>,</w:t>
      </w:r>
      <w:r w:rsidR="00B33BD2" w:rsidRPr="00B33BD2">
        <w:rPr>
          <w:noProof/>
        </w:rPr>
        <w:t>7</w:t>
      </w:r>
      <w:r w:rsidR="00051A5E">
        <w:rPr>
          <w:noProof/>
        </w:rPr>
        <w:t> </w:t>
      </w:r>
      <w:r w:rsidR="00DD5E8B" w:rsidRPr="008A1461">
        <w:rPr>
          <w:noProof/>
        </w:rPr>
        <w:t xml:space="preserve">milj. </w:t>
      </w:r>
      <w:r w:rsidR="00DD5E8B" w:rsidRPr="008A1461">
        <w:rPr>
          <w:i/>
          <w:noProof/>
        </w:rPr>
        <w:t xml:space="preserve">euro </w:t>
      </w:r>
      <w:r w:rsidR="00DD5E8B" w:rsidRPr="008A1461">
        <w:rPr>
          <w:noProof/>
        </w:rPr>
        <w:t xml:space="preserve">jeb </w:t>
      </w:r>
      <w:r w:rsidR="00B33BD2" w:rsidRPr="008A1461">
        <w:rPr>
          <w:noProof/>
        </w:rPr>
        <w:t>21</w:t>
      </w:r>
      <w:r w:rsidR="00DD5E8B" w:rsidRPr="008A1461">
        <w:rPr>
          <w:noProof/>
        </w:rPr>
        <w:t>,</w:t>
      </w:r>
      <w:r w:rsidR="00B33BD2" w:rsidRPr="008A1461">
        <w:rPr>
          <w:noProof/>
        </w:rPr>
        <w:t>3</w:t>
      </w:r>
      <w:r w:rsidR="00DD5E8B" w:rsidRPr="008A1461">
        <w:rPr>
          <w:noProof/>
        </w:rPr>
        <w:t> %</w:t>
      </w:r>
      <w:r w:rsidR="005F40C5" w:rsidRPr="008A1461">
        <w:rPr>
          <w:noProof/>
        </w:rPr>
        <w:t xml:space="preserve"> </w:t>
      </w:r>
      <w:r w:rsidR="00DD5E8B" w:rsidRPr="008A1461">
        <w:rPr>
          <w:noProof/>
        </w:rPr>
        <w:t xml:space="preserve">– </w:t>
      </w:r>
      <w:r w:rsidR="00B33BD2" w:rsidRPr="008A1461">
        <w:rPr>
          <w:noProof/>
        </w:rPr>
        <w:t>galvenokārt</w:t>
      </w:r>
      <w:r w:rsidR="00BE66CF" w:rsidRPr="008A1461">
        <w:rPr>
          <w:noProof/>
        </w:rPr>
        <w:t xml:space="preserve"> pamatfunkciju bruto pamatkapitāla veidošanai</w:t>
      </w:r>
      <w:r w:rsidR="005F40C5" w:rsidRPr="008A1461">
        <w:rPr>
          <w:noProof/>
        </w:rPr>
        <w:t xml:space="preserve"> </w:t>
      </w:r>
      <w:r w:rsidR="00BE66CF" w:rsidRPr="008A1461">
        <w:rPr>
          <w:noProof/>
        </w:rPr>
        <w:lastRenderedPageBreak/>
        <w:t>aizsardzības nozar</w:t>
      </w:r>
      <w:r w:rsidR="00B33BD2" w:rsidRPr="008A1461">
        <w:rPr>
          <w:noProof/>
        </w:rPr>
        <w:t>es</w:t>
      </w:r>
      <w:r w:rsidR="00BE66CF" w:rsidRPr="008A1461">
        <w:rPr>
          <w:noProof/>
        </w:rPr>
        <w:t xml:space="preserve"> investīciju </w:t>
      </w:r>
      <w:r w:rsidR="00FE1023" w:rsidRPr="008A1461">
        <w:rPr>
          <w:noProof/>
        </w:rPr>
        <w:t>un ES fondu projektiem</w:t>
      </w:r>
      <w:r w:rsidR="00BE66CF" w:rsidRPr="008A1461">
        <w:rPr>
          <w:noProof/>
        </w:rPr>
        <w:t>.</w:t>
      </w:r>
      <w:r w:rsidR="005F40C5" w:rsidRPr="008A1461">
        <w:rPr>
          <w:noProof/>
        </w:rPr>
        <w:t xml:space="preserve"> </w:t>
      </w:r>
      <w:bookmarkStart w:id="3" w:name="_Hlk197526103"/>
      <w:r w:rsidR="00BF1ED9" w:rsidRPr="008A1461">
        <w:rPr>
          <w:noProof/>
        </w:rPr>
        <w:t xml:space="preserve">Tostarp </w:t>
      </w:r>
      <w:r w:rsidR="00F6057B" w:rsidRPr="008A1461">
        <w:rPr>
          <w:noProof/>
        </w:rPr>
        <w:t xml:space="preserve">valsts pamatbudžeta </w:t>
      </w:r>
      <w:r w:rsidR="00BF1ED9" w:rsidRPr="008A1461">
        <w:rPr>
          <w:noProof/>
        </w:rPr>
        <w:t>kapitālie i</w:t>
      </w:r>
      <w:r w:rsidR="00AC03D1" w:rsidRPr="008A1461">
        <w:rPr>
          <w:noProof/>
        </w:rPr>
        <w:t>zdevumi Eiropas infrastruktūras savienošanas instrumenta līdzfinansēt</w:t>
      </w:r>
      <w:r w:rsidR="00F6057B" w:rsidRPr="008A1461">
        <w:rPr>
          <w:noProof/>
        </w:rPr>
        <w:t>ajam</w:t>
      </w:r>
      <w:r w:rsidR="00AC03D1" w:rsidRPr="008A1461">
        <w:rPr>
          <w:noProof/>
        </w:rPr>
        <w:t xml:space="preserve"> </w:t>
      </w:r>
      <w:r w:rsidR="00AC03D1" w:rsidRPr="008A1461">
        <w:rPr>
          <w:i/>
          <w:iCs/>
          <w:noProof/>
        </w:rPr>
        <w:t>Rail Baltica</w:t>
      </w:r>
      <w:r w:rsidR="00AC03D1" w:rsidRPr="008A1461">
        <w:rPr>
          <w:noProof/>
        </w:rPr>
        <w:t xml:space="preserve"> projektam 2024.</w:t>
      </w:r>
      <w:r w:rsidR="00051A5E" w:rsidRPr="008A1461">
        <w:rPr>
          <w:noProof/>
        </w:rPr>
        <w:t> </w:t>
      </w:r>
      <w:r w:rsidR="00AC03D1" w:rsidRPr="008A1461">
        <w:rPr>
          <w:noProof/>
        </w:rPr>
        <w:t xml:space="preserve">gadā bija </w:t>
      </w:r>
      <w:r w:rsidR="00BF1ED9" w:rsidRPr="008A1461">
        <w:rPr>
          <w:noProof/>
        </w:rPr>
        <w:t>158</w:t>
      </w:r>
      <w:r w:rsidR="00F229C1" w:rsidRPr="008A1461">
        <w:rPr>
          <w:noProof/>
        </w:rPr>
        <w:t>,0</w:t>
      </w:r>
      <w:r w:rsidR="00051A5E" w:rsidRPr="008A1461">
        <w:rPr>
          <w:noProof/>
        </w:rPr>
        <w:t> </w:t>
      </w:r>
      <w:r w:rsidR="00AC03D1" w:rsidRPr="008A1461">
        <w:rPr>
          <w:noProof/>
        </w:rPr>
        <w:t xml:space="preserve">milj. </w:t>
      </w:r>
      <w:r w:rsidR="00AC03D1" w:rsidRPr="008A1461">
        <w:rPr>
          <w:i/>
          <w:noProof/>
        </w:rPr>
        <w:t>euro</w:t>
      </w:r>
      <w:r w:rsidR="00AC03D1" w:rsidRPr="008A1461">
        <w:rPr>
          <w:noProof/>
        </w:rPr>
        <w:t>, kas ir par 9,</w:t>
      </w:r>
      <w:r w:rsidR="00BF1ED9" w:rsidRPr="008A1461">
        <w:rPr>
          <w:noProof/>
        </w:rPr>
        <w:t>8</w:t>
      </w:r>
      <w:r w:rsidR="00051A5E" w:rsidRPr="008A1461">
        <w:rPr>
          <w:noProof/>
        </w:rPr>
        <w:t> </w:t>
      </w:r>
      <w:r w:rsidR="00AC03D1" w:rsidRPr="008A1461">
        <w:rPr>
          <w:noProof/>
        </w:rPr>
        <w:t xml:space="preserve">milj. </w:t>
      </w:r>
      <w:r w:rsidR="00AC03D1" w:rsidRPr="008A1461">
        <w:rPr>
          <w:i/>
          <w:noProof/>
        </w:rPr>
        <w:t xml:space="preserve">euro </w:t>
      </w:r>
      <w:r w:rsidR="00AC03D1" w:rsidRPr="008A1461">
        <w:rPr>
          <w:noProof/>
        </w:rPr>
        <w:t xml:space="preserve">jeb </w:t>
      </w:r>
      <w:r w:rsidR="00BF1ED9" w:rsidRPr="008A1461">
        <w:rPr>
          <w:noProof/>
        </w:rPr>
        <w:t>6,6</w:t>
      </w:r>
      <w:r w:rsidR="00AC03D1" w:rsidRPr="008A1461">
        <w:rPr>
          <w:noProof/>
        </w:rPr>
        <w:t xml:space="preserve"> % vairāk nekā 2023. gadā. </w:t>
      </w:r>
      <w:bookmarkEnd w:id="3"/>
      <w:r w:rsidR="005F40C5" w:rsidRPr="008A1461">
        <w:rPr>
          <w:noProof/>
        </w:rPr>
        <w:t>Pašva</w:t>
      </w:r>
      <w:r w:rsidR="00DD5E8B" w:rsidRPr="008A1461">
        <w:rPr>
          <w:noProof/>
        </w:rPr>
        <w:t>ldību budžetā kapitāl</w:t>
      </w:r>
      <w:r w:rsidR="00B33BD2" w:rsidRPr="008A1461">
        <w:rPr>
          <w:noProof/>
        </w:rPr>
        <w:t>ie</w:t>
      </w:r>
      <w:r w:rsidR="00DD5E8B" w:rsidRPr="008A1461">
        <w:rPr>
          <w:noProof/>
        </w:rPr>
        <w:t xml:space="preserve"> izdevum</w:t>
      </w:r>
      <w:r w:rsidR="00B33BD2" w:rsidRPr="008A1461">
        <w:rPr>
          <w:noProof/>
        </w:rPr>
        <w:t>i</w:t>
      </w:r>
      <w:r w:rsidR="00DD5E8B" w:rsidRPr="008A1461">
        <w:rPr>
          <w:noProof/>
        </w:rPr>
        <w:t xml:space="preserve"> </w:t>
      </w:r>
      <w:r w:rsidR="005F40C5" w:rsidRPr="008A1461">
        <w:rPr>
          <w:noProof/>
        </w:rPr>
        <w:t>202</w:t>
      </w:r>
      <w:r w:rsidR="00B33BD2" w:rsidRPr="008A1461">
        <w:rPr>
          <w:noProof/>
        </w:rPr>
        <w:t>4</w:t>
      </w:r>
      <w:r w:rsidR="005F40C5" w:rsidRPr="008A1461">
        <w:rPr>
          <w:noProof/>
        </w:rPr>
        <w:t>. gadā</w:t>
      </w:r>
      <w:r w:rsidR="00B33BD2" w:rsidRPr="008A1461">
        <w:rPr>
          <w:noProof/>
        </w:rPr>
        <w:t xml:space="preserve"> samazinājušies par </w:t>
      </w:r>
      <w:r w:rsidR="00DC3156" w:rsidRPr="008A1461">
        <w:rPr>
          <w:noProof/>
        </w:rPr>
        <w:t>15</w:t>
      </w:r>
      <w:r w:rsidR="00B33BD2" w:rsidRPr="008A1461">
        <w:rPr>
          <w:noProof/>
        </w:rPr>
        <w:t>,2 % jeb</w:t>
      </w:r>
      <w:r w:rsidR="005F40C5" w:rsidRPr="008A1461">
        <w:rPr>
          <w:noProof/>
        </w:rPr>
        <w:t xml:space="preserve"> </w:t>
      </w:r>
      <w:r w:rsidR="00DC3156" w:rsidRPr="008A1461">
        <w:rPr>
          <w:noProof/>
        </w:rPr>
        <w:t>87</w:t>
      </w:r>
      <w:r w:rsidR="00B33BD2" w:rsidRPr="008A1461">
        <w:rPr>
          <w:noProof/>
        </w:rPr>
        <w:t>,</w:t>
      </w:r>
      <w:r w:rsidR="00647287">
        <w:rPr>
          <w:noProof/>
        </w:rPr>
        <w:t>4</w:t>
      </w:r>
      <w:r w:rsidR="00051A5E" w:rsidRPr="008A1461">
        <w:rPr>
          <w:noProof/>
        </w:rPr>
        <w:t> </w:t>
      </w:r>
      <w:r w:rsidR="00B33BD2" w:rsidRPr="008A1461">
        <w:rPr>
          <w:noProof/>
        </w:rPr>
        <w:t xml:space="preserve">milj. </w:t>
      </w:r>
      <w:r w:rsidR="00B33BD2" w:rsidRPr="008A1461">
        <w:rPr>
          <w:i/>
          <w:noProof/>
        </w:rPr>
        <w:t>euro</w:t>
      </w:r>
      <w:r w:rsidR="00FE1023" w:rsidRPr="008A1461">
        <w:rPr>
          <w:noProof/>
        </w:rPr>
        <w:t xml:space="preserve">. Līdz ar iepriekšējā ES fondu plānošanas perioda noslēgšanos, </w:t>
      </w:r>
      <w:r w:rsidR="007C4FDD" w:rsidRPr="008A1461">
        <w:rPr>
          <w:noProof/>
        </w:rPr>
        <w:t xml:space="preserve">pašvaldību budžetā </w:t>
      </w:r>
      <w:r w:rsidR="00FE1023" w:rsidRPr="008A1461">
        <w:rPr>
          <w:noProof/>
        </w:rPr>
        <w:t>vērojams būtisks kapitālo izdevumu kritums ES fondu projektiem (par 159,6</w:t>
      </w:r>
      <w:r w:rsidR="00051A5E" w:rsidRPr="008A1461">
        <w:rPr>
          <w:noProof/>
        </w:rPr>
        <w:t> </w:t>
      </w:r>
      <w:r w:rsidR="00FE1023" w:rsidRPr="008A1461">
        <w:rPr>
          <w:noProof/>
        </w:rPr>
        <w:t xml:space="preserve">milj. </w:t>
      </w:r>
      <w:r w:rsidR="00FE1023" w:rsidRPr="008A1461">
        <w:rPr>
          <w:i/>
          <w:noProof/>
        </w:rPr>
        <w:t>euro</w:t>
      </w:r>
      <w:r w:rsidR="00FE1023" w:rsidRPr="008A1461">
        <w:rPr>
          <w:noProof/>
        </w:rPr>
        <w:t xml:space="preserve"> jeb 61 %)</w:t>
      </w:r>
      <w:r w:rsidR="005F40C5" w:rsidRPr="008A1461">
        <w:rPr>
          <w:noProof/>
        </w:rPr>
        <w:t>.</w:t>
      </w:r>
      <w:r w:rsidR="00FE1023" w:rsidRPr="008A1461">
        <w:t xml:space="preserve"> </w:t>
      </w:r>
    </w:p>
    <w:p w14:paraId="38766F58" w14:textId="6818DD45" w:rsidR="00512350" w:rsidRPr="008A1461" w:rsidRDefault="00B63C21" w:rsidP="002F4646">
      <w:pPr>
        <w:spacing w:line="288" w:lineRule="auto"/>
        <w:rPr>
          <w:noProof/>
        </w:rPr>
      </w:pPr>
      <w:r w:rsidRPr="008A1461">
        <w:rPr>
          <w:noProof/>
        </w:rPr>
        <w:t>P</w:t>
      </w:r>
      <w:r w:rsidR="00DE3ABD" w:rsidRPr="008A1461">
        <w:rPr>
          <w:noProof/>
        </w:rPr>
        <w:t xml:space="preserve">ašvaldību budžetā </w:t>
      </w:r>
      <w:r w:rsidRPr="008A1461">
        <w:rPr>
          <w:noProof/>
        </w:rPr>
        <w:t>202</w:t>
      </w:r>
      <w:r w:rsidR="00FE1023" w:rsidRPr="008A1461">
        <w:rPr>
          <w:noProof/>
        </w:rPr>
        <w:t>4</w:t>
      </w:r>
      <w:r w:rsidRPr="008A1461">
        <w:rPr>
          <w:noProof/>
        </w:rPr>
        <w:t>.</w:t>
      </w:r>
      <w:r w:rsidR="00051A5E" w:rsidRPr="008A1461">
        <w:rPr>
          <w:noProof/>
        </w:rPr>
        <w:t> </w:t>
      </w:r>
      <w:r w:rsidRPr="008A1461">
        <w:rPr>
          <w:noProof/>
        </w:rPr>
        <w:t xml:space="preserve">gads noslēgts ar deficītu </w:t>
      </w:r>
      <w:r w:rsidR="00FE1023" w:rsidRPr="008A1461">
        <w:rPr>
          <w:noProof/>
        </w:rPr>
        <w:t>48</w:t>
      </w:r>
      <w:r w:rsidRPr="008A1461">
        <w:rPr>
          <w:noProof/>
        </w:rPr>
        <w:t>,</w:t>
      </w:r>
      <w:r w:rsidR="00FE1023" w:rsidRPr="008A1461">
        <w:rPr>
          <w:noProof/>
        </w:rPr>
        <w:t>3</w:t>
      </w:r>
      <w:r w:rsidR="00051A5E" w:rsidRPr="008A1461">
        <w:rPr>
          <w:noProof/>
        </w:rPr>
        <w:t> </w:t>
      </w:r>
      <w:r w:rsidRPr="008A1461">
        <w:rPr>
          <w:noProof/>
        </w:rPr>
        <w:t xml:space="preserve">milj. </w:t>
      </w:r>
      <w:r w:rsidRPr="008A1461">
        <w:rPr>
          <w:i/>
          <w:noProof/>
        </w:rPr>
        <w:t>euro</w:t>
      </w:r>
      <w:r w:rsidRPr="008A1461">
        <w:rPr>
          <w:noProof/>
        </w:rPr>
        <w:t xml:space="preserve"> apmērā, </w:t>
      </w:r>
      <w:r w:rsidR="00FE1023" w:rsidRPr="008A1461">
        <w:rPr>
          <w:noProof/>
        </w:rPr>
        <w:t>uzlabojoties</w:t>
      </w:r>
      <w:r w:rsidRPr="008A1461">
        <w:rPr>
          <w:noProof/>
        </w:rPr>
        <w:t xml:space="preserve"> par </w:t>
      </w:r>
      <w:r w:rsidR="00FE1023" w:rsidRPr="008A1461">
        <w:rPr>
          <w:noProof/>
        </w:rPr>
        <w:t>107</w:t>
      </w:r>
      <w:r w:rsidRPr="008A1461">
        <w:rPr>
          <w:noProof/>
        </w:rPr>
        <w:t>,</w:t>
      </w:r>
      <w:r w:rsidR="00FE1023" w:rsidRPr="008A1461">
        <w:rPr>
          <w:noProof/>
        </w:rPr>
        <w:t>6</w:t>
      </w:r>
      <w:r w:rsidR="00051A5E" w:rsidRPr="008A1461">
        <w:rPr>
          <w:noProof/>
        </w:rPr>
        <w:t> </w:t>
      </w:r>
      <w:r w:rsidRPr="008A1461">
        <w:rPr>
          <w:noProof/>
        </w:rPr>
        <w:t xml:space="preserve">milj. </w:t>
      </w:r>
      <w:r w:rsidRPr="008A1461">
        <w:rPr>
          <w:i/>
          <w:noProof/>
        </w:rPr>
        <w:t>euro</w:t>
      </w:r>
      <w:r w:rsidRPr="008A1461">
        <w:rPr>
          <w:noProof/>
        </w:rPr>
        <w:t xml:space="preserve"> salīdzinājumā </w:t>
      </w:r>
      <w:r w:rsidR="00FE1023" w:rsidRPr="008A1461">
        <w:rPr>
          <w:noProof/>
        </w:rPr>
        <w:t>iepriekšējo gadu</w:t>
      </w:r>
      <w:r w:rsidRPr="008A1461">
        <w:rPr>
          <w:noProof/>
        </w:rPr>
        <w:t>.</w:t>
      </w:r>
      <w:r w:rsidR="00AF20FE" w:rsidRPr="008A1461">
        <w:rPr>
          <w:noProof/>
        </w:rPr>
        <w:t xml:space="preserve"> </w:t>
      </w:r>
      <w:r w:rsidR="00FE1023" w:rsidRPr="008A1461">
        <w:rPr>
          <w:noProof/>
        </w:rPr>
        <w:t xml:space="preserve">Deficīta samazinājumu galvenokārt ietekmēja ieņēmumu pieaugums </w:t>
      </w:r>
      <w:r w:rsidR="00136DD1" w:rsidRPr="008A1461">
        <w:rPr>
          <w:noProof/>
        </w:rPr>
        <w:t>2</w:t>
      </w:r>
      <w:r w:rsidR="009E57D2" w:rsidRPr="008A1461">
        <w:rPr>
          <w:noProof/>
        </w:rPr>
        <w:t>68</w:t>
      </w:r>
      <w:r w:rsidR="00136DD1" w:rsidRPr="008A1461">
        <w:rPr>
          <w:noProof/>
        </w:rPr>
        <w:t>,</w:t>
      </w:r>
      <w:r w:rsidR="009E57D2" w:rsidRPr="008A1461">
        <w:rPr>
          <w:noProof/>
        </w:rPr>
        <w:t>7</w:t>
      </w:r>
      <w:r w:rsidR="00051A5E" w:rsidRPr="008A1461">
        <w:rPr>
          <w:noProof/>
        </w:rPr>
        <w:t> </w:t>
      </w:r>
      <w:r w:rsidR="00136DD1" w:rsidRPr="008A1461">
        <w:rPr>
          <w:noProof/>
        </w:rPr>
        <w:t>milj.</w:t>
      </w:r>
      <w:r w:rsidR="00C91445">
        <w:rPr>
          <w:noProof/>
        </w:rPr>
        <w:t> </w:t>
      </w:r>
      <w:r w:rsidR="00136DD1" w:rsidRPr="008A1461">
        <w:rPr>
          <w:i/>
          <w:noProof/>
        </w:rPr>
        <w:t>euro</w:t>
      </w:r>
      <w:r w:rsidR="00136DD1" w:rsidRPr="008A1461">
        <w:rPr>
          <w:noProof/>
        </w:rPr>
        <w:t xml:space="preserve"> apmērā, kas apsteidza izdevumu pieaugumu 16</w:t>
      </w:r>
      <w:r w:rsidR="009E57D2" w:rsidRPr="008A1461">
        <w:rPr>
          <w:noProof/>
        </w:rPr>
        <w:t>1</w:t>
      </w:r>
      <w:r w:rsidR="00136DD1" w:rsidRPr="008A1461">
        <w:rPr>
          <w:noProof/>
        </w:rPr>
        <w:t>,</w:t>
      </w:r>
      <w:r w:rsidR="009E57D2" w:rsidRPr="008A1461">
        <w:rPr>
          <w:noProof/>
        </w:rPr>
        <w:t>1</w:t>
      </w:r>
      <w:r w:rsidR="00051A5E" w:rsidRPr="008A1461">
        <w:rPr>
          <w:noProof/>
        </w:rPr>
        <w:t> </w:t>
      </w:r>
      <w:r w:rsidR="00136DD1" w:rsidRPr="008A1461">
        <w:rPr>
          <w:noProof/>
        </w:rPr>
        <w:t>milj.</w:t>
      </w:r>
      <w:r w:rsidR="00051A5E" w:rsidRPr="008A1461">
        <w:rPr>
          <w:noProof/>
        </w:rPr>
        <w:t> </w:t>
      </w:r>
      <w:r w:rsidR="00136DD1" w:rsidRPr="008A1461">
        <w:rPr>
          <w:i/>
          <w:noProof/>
        </w:rPr>
        <w:t>euro</w:t>
      </w:r>
      <w:r w:rsidR="00136DD1" w:rsidRPr="008A1461">
        <w:rPr>
          <w:noProof/>
        </w:rPr>
        <w:t xml:space="preserve"> apmērā. Ieņēmumu pieaugumu ietekmēja iedzīvotāju ienākuma nodokļa ieņēmumi pašvaldību budžetā, kas 2024. gadā bija 2,1</w:t>
      </w:r>
      <w:r w:rsidR="00051A5E" w:rsidRPr="008A1461">
        <w:rPr>
          <w:noProof/>
        </w:rPr>
        <w:t> </w:t>
      </w:r>
      <w:r w:rsidR="00994C50" w:rsidRPr="008A1461">
        <w:rPr>
          <w:noProof/>
        </w:rPr>
        <w:t xml:space="preserve">mljrd. </w:t>
      </w:r>
      <w:r w:rsidR="00994C50" w:rsidRPr="008A1461">
        <w:rPr>
          <w:i/>
          <w:noProof/>
        </w:rPr>
        <w:t>euro</w:t>
      </w:r>
      <w:r w:rsidR="00051A5E" w:rsidRPr="008A1461">
        <w:rPr>
          <w:iCs/>
          <w:noProof/>
        </w:rPr>
        <w:t xml:space="preserve"> </w:t>
      </w:r>
      <w:r w:rsidR="00994C50" w:rsidRPr="008A1461">
        <w:rPr>
          <w:iCs/>
          <w:noProof/>
        </w:rPr>
        <w:t>un</w:t>
      </w:r>
      <w:r w:rsidR="00136DD1" w:rsidRPr="008A1461">
        <w:rPr>
          <w:iCs/>
          <w:noProof/>
        </w:rPr>
        <w:t xml:space="preserve"> </w:t>
      </w:r>
      <w:r w:rsidR="00136DD1" w:rsidRPr="008A1461">
        <w:rPr>
          <w:noProof/>
        </w:rPr>
        <w:t>par 232,5 </w:t>
      </w:r>
      <w:r w:rsidR="00994C50" w:rsidRPr="008A1461">
        <w:rPr>
          <w:noProof/>
        </w:rPr>
        <w:t xml:space="preserve">milj. </w:t>
      </w:r>
      <w:r w:rsidR="00994C50" w:rsidRPr="008A1461">
        <w:rPr>
          <w:i/>
          <w:noProof/>
        </w:rPr>
        <w:t>euro</w:t>
      </w:r>
      <w:r w:rsidR="00994C50" w:rsidRPr="008A1461">
        <w:rPr>
          <w:noProof/>
        </w:rPr>
        <w:t xml:space="preserve"> </w:t>
      </w:r>
      <w:r w:rsidR="00136DD1" w:rsidRPr="008A1461">
        <w:rPr>
          <w:noProof/>
        </w:rPr>
        <w:t>jeb 12,4</w:t>
      </w:r>
      <w:r w:rsidR="00994C50" w:rsidRPr="008A1461">
        <w:rPr>
          <w:noProof/>
        </w:rPr>
        <w:t> </w:t>
      </w:r>
      <w:r w:rsidR="00136DD1" w:rsidRPr="008A1461">
        <w:rPr>
          <w:noProof/>
        </w:rPr>
        <w:t xml:space="preserve">% </w:t>
      </w:r>
      <w:r w:rsidR="00994C50" w:rsidRPr="008A1461">
        <w:rPr>
          <w:noProof/>
        </w:rPr>
        <w:t>pārsniedza</w:t>
      </w:r>
      <w:r w:rsidR="00136DD1" w:rsidRPr="008A1461">
        <w:rPr>
          <w:noProof/>
        </w:rPr>
        <w:t xml:space="preserve"> 2023.</w:t>
      </w:r>
      <w:r w:rsidR="00051A5E" w:rsidRPr="008A1461">
        <w:rPr>
          <w:noProof/>
        </w:rPr>
        <w:t> </w:t>
      </w:r>
      <w:r w:rsidR="00136DD1" w:rsidRPr="008A1461">
        <w:rPr>
          <w:noProof/>
        </w:rPr>
        <w:t>gad</w:t>
      </w:r>
      <w:r w:rsidR="00994C50" w:rsidRPr="008A1461">
        <w:rPr>
          <w:noProof/>
        </w:rPr>
        <w:t>a rādītāju</w:t>
      </w:r>
      <w:r w:rsidR="00136DD1" w:rsidRPr="008A1461">
        <w:rPr>
          <w:noProof/>
        </w:rPr>
        <w:t xml:space="preserve">. </w:t>
      </w:r>
      <w:r w:rsidRPr="008A1461">
        <w:rPr>
          <w:noProof/>
        </w:rPr>
        <w:t>Pieaugums saist</w:t>
      </w:r>
      <w:r w:rsidR="007C102B" w:rsidRPr="008A1461">
        <w:rPr>
          <w:noProof/>
        </w:rPr>
        <w:t>īt</w:t>
      </w:r>
      <w:r w:rsidRPr="008A1461">
        <w:rPr>
          <w:noProof/>
        </w:rPr>
        <w:t xml:space="preserve">s ar </w:t>
      </w:r>
      <w:r w:rsidR="00994C50" w:rsidRPr="008A1461">
        <w:rPr>
          <w:noProof/>
        </w:rPr>
        <w:t>strauju vidēj</w:t>
      </w:r>
      <w:r w:rsidR="00051A5E" w:rsidRPr="008A1461">
        <w:rPr>
          <w:noProof/>
        </w:rPr>
        <w:t>ā</w:t>
      </w:r>
      <w:r w:rsidR="00994C50" w:rsidRPr="008A1461">
        <w:rPr>
          <w:noProof/>
        </w:rPr>
        <w:t>s darba samaksas pieaugumu</w:t>
      </w:r>
      <w:r w:rsidR="00512350" w:rsidRPr="008A1461">
        <w:rPr>
          <w:noProof/>
        </w:rPr>
        <w:t xml:space="preserve"> valstī </w:t>
      </w:r>
      <w:r w:rsidR="00994C50" w:rsidRPr="008A1461">
        <w:rPr>
          <w:noProof/>
        </w:rPr>
        <w:t>kopumā 2024.</w:t>
      </w:r>
      <w:r w:rsidR="00051A5E" w:rsidRPr="008A1461">
        <w:rPr>
          <w:noProof/>
        </w:rPr>
        <w:t> </w:t>
      </w:r>
      <w:r w:rsidR="00994C50" w:rsidRPr="008A1461">
        <w:rPr>
          <w:noProof/>
        </w:rPr>
        <w:t>gadā</w:t>
      </w:r>
      <w:r w:rsidRPr="008A1461">
        <w:rPr>
          <w:noProof/>
        </w:rPr>
        <w:t>.</w:t>
      </w:r>
      <w:r w:rsidR="00994C50" w:rsidRPr="008A1461">
        <w:rPr>
          <w:noProof/>
        </w:rPr>
        <w:t xml:space="preserve"> </w:t>
      </w:r>
    </w:p>
    <w:p w14:paraId="1A9395B1" w14:textId="5E13F514" w:rsidR="002F4646" w:rsidRPr="00512350" w:rsidRDefault="00994C50" w:rsidP="002F4646">
      <w:pPr>
        <w:spacing w:line="288" w:lineRule="auto"/>
        <w:rPr>
          <w:iCs/>
          <w:noProof/>
        </w:rPr>
      </w:pPr>
      <w:r w:rsidRPr="008A1461">
        <w:rPr>
          <w:noProof/>
        </w:rPr>
        <w:t>Pašvaldību budžetā izdevumi 2024.</w:t>
      </w:r>
      <w:r w:rsidR="00051A5E" w:rsidRPr="008A1461">
        <w:rPr>
          <w:noProof/>
        </w:rPr>
        <w:t> </w:t>
      </w:r>
      <w:r w:rsidRPr="008A1461">
        <w:rPr>
          <w:noProof/>
        </w:rPr>
        <w:t>gadā sasniedza 3,8</w:t>
      </w:r>
      <w:r w:rsidR="00051A5E" w:rsidRPr="008A1461">
        <w:rPr>
          <w:noProof/>
        </w:rPr>
        <w:t> </w:t>
      </w:r>
      <w:r w:rsidR="00D546E3" w:rsidRPr="008A1461">
        <w:rPr>
          <w:noProof/>
        </w:rPr>
        <w:t xml:space="preserve">mljrd. </w:t>
      </w:r>
      <w:r w:rsidR="00D546E3" w:rsidRPr="008A1461">
        <w:rPr>
          <w:i/>
          <w:noProof/>
        </w:rPr>
        <w:t>euro</w:t>
      </w:r>
      <w:r w:rsidR="00D546E3" w:rsidRPr="008A1461">
        <w:rPr>
          <w:iCs/>
          <w:noProof/>
        </w:rPr>
        <w:t>, no tiem iz</w:t>
      </w:r>
      <w:r w:rsidRPr="008A1461">
        <w:rPr>
          <w:iCs/>
          <w:noProof/>
        </w:rPr>
        <w:t>devumi atlīdzībai</w:t>
      </w:r>
      <w:r w:rsidR="00D546E3" w:rsidRPr="008A1461">
        <w:rPr>
          <w:iCs/>
          <w:noProof/>
        </w:rPr>
        <w:t xml:space="preserve"> bija 1,9</w:t>
      </w:r>
      <w:r w:rsidR="00051A5E" w:rsidRPr="008A1461">
        <w:rPr>
          <w:iCs/>
          <w:noProof/>
        </w:rPr>
        <w:t> </w:t>
      </w:r>
      <w:r w:rsidR="00D546E3" w:rsidRPr="008A1461">
        <w:rPr>
          <w:noProof/>
        </w:rPr>
        <w:t xml:space="preserve">mljrd. </w:t>
      </w:r>
      <w:r w:rsidR="00D546E3" w:rsidRPr="008A1461">
        <w:rPr>
          <w:i/>
          <w:noProof/>
        </w:rPr>
        <w:t xml:space="preserve">euro, </w:t>
      </w:r>
      <w:r w:rsidR="00D546E3" w:rsidRPr="008A1461">
        <w:rPr>
          <w:iCs/>
          <w:noProof/>
        </w:rPr>
        <w:t>kas</w:t>
      </w:r>
      <w:r w:rsidRPr="008A1461">
        <w:rPr>
          <w:iCs/>
          <w:noProof/>
        </w:rPr>
        <w:t>, salīdzinot ar 2023.</w:t>
      </w:r>
      <w:r w:rsidR="00051A5E" w:rsidRPr="008A1461">
        <w:rPr>
          <w:iCs/>
          <w:noProof/>
        </w:rPr>
        <w:t> </w:t>
      </w:r>
      <w:r w:rsidRPr="008A1461">
        <w:rPr>
          <w:iCs/>
          <w:noProof/>
        </w:rPr>
        <w:t>gadu, pieauga par 241,5</w:t>
      </w:r>
      <w:r w:rsidR="00051A5E" w:rsidRPr="008A1461">
        <w:rPr>
          <w:iCs/>
          <w:noProof/>
        </w:rPr>
        <w:t> </w:t>
      </w:r>
      <w:r w:rsidR="00D546E3" w:rsidRPr="008A1461">
        <w:rPr>
          <w:iCs/>
          <w:noProof/>
        </w:rPr>
        <w:t>milj.</w:t>
      </w:r>
      <w:r w:rsidR="00D546E3" w:rsidRPr="008A1461">
        <w:rPr>
          <w:noProof/>
        </w:rPr>
        <w:t xml:space="preserve"> </w:t>
      </w:r>
      <w:r w:rsidR="00D546E3" w:rsidRPr="008A1461">
        <w:rPr>
          <w:i/>
          <w:noProof/>
        </w:rPr>
        <w:t>euro</w:t>
      </w:r>
      <w:r w:rsidR="00D546E3" w:rsidRPr="008A1461">
        <w:rPr>
          <w:noProof/>
        </w:rPr>
        <w:t xml:space="preserve"> </w:t>
      </w:r>
      <w:r w:rsidRPr="008A1461">
        <w:rPr>
          <w:noProof/>
        </w:rPr>
        <w:t>jeb 14,5</w:t>
      </w:r>
      <w:r w:rsidR="00D546E3" w:rsidRPr="008A1461">
        <w:rPr>
          <w:noProof/>
        </w:rPr>
        <w:t> </w:t>
      </w:r>
      <w:r w:rsidRPr="008A1461">
        <w:rPr>
          <w:noProof/>
        </w:rPr>
        <w:t>%</w:t>
      </w:r>
      <w:r w:rsidR="00D546E3" w:rsidRPr="008A1461">
        <w:rPr>
          <w:noProof/>
        </w:rPr>
        <w:t>, kas saistīts</w:t>
      </w:r>
      <w:r w:rsidR="00D546E3" w:rsidRPr="008A1461">
        <w:t xml:space="preserve"> </w:t>
      </w:r>
      <w:r w:rsidR="00D546E3" w:rsidRPr="008A1461">
        <w:rPr>
          <w:noProof/>
        </w:rPr>
        <w:t xml:space="preserve">gan ar minimālās algas celšanu valstī, gan ar izdevumu pieaugumu pedagogu atalgojumam. </w:t>
      </w:r>
      <w:r w:rsidR="00512350" w:rsidRPr="008A1461">
        <w:rPr>
          <w:noProof/>
        </w:rPr>
        <w:t>Izdevumi par precēm un pakalpojumiem samazinājušies</w:t>
      </w:r>
      <w:r w:rsidR="00025F9D" w:rsidRPr="008A1461">
        <w:rPr>
          <w:noProof/>
        </w:rPr>
        <w:t xml:space="preserve"> par</w:t>
      </w:r>
      <w:r w:rsidR="00512350" w:rsidRPr="008A1461">
        <w:rPr>
          <w:noProof/>
        </w:rPr>
        <w:t xml:space="preserve"> 4</w:t>
      </w:r>
      <w:r w:rsidR="00DC3156" w:rsidRPr="008A1461">
        <w:rPr>
          <w:noProof/>
        </w:rPr>
        <w:t>4</w:t>
      </w:r>
      <w:r w:rsidR="00512350" w:rsidRPr="008A1461">
        <w:rPr>
          <w:noProof/>
        </w:rPr>
        <w:t>,</w:t>
      </w:r>
      <w:r w:rsidR="00DC3156" w:rsidRPr="008A1461">
        <w:rPr>
          <w:noProof/>
        </w:rPr>
        <w:t>1</w:t>
      </w:r>
      <w:r w:rsidR="00051A5E" w:rsidRPr="008A1461">
        <w:rPr>
          <w:noProof/>
        </w:rPr>
        <w:t> </w:t>
      </w:r>
      <w:r w:rsidR="00512350" w:rsidRPr="008A1461">
        <w:rPr>
          <w:noProof/>
        </w:rPr>
        <w:t xml:space="preserve">milj. </w:t>
      </w:r>
      <w:r w:rsidR="00512350" w:rsidRPr="008A1461">
        <w:rPr>
          <w:i/>
          <w:noProof/>
        </w:rPr>
        <w:t>euro</w:t>
      </w:r>
      <w:r w:rsidR="00512350" w:rsidRPr="008A1461">
        <w:rPr>
          <w:noProof/>
        </w:rPr>
        <w:t xml:space="preserve"> </w:t>
      </w:r>
      <w:r w:rsidR="00025F9D" w:rsidRPr="008A1461">
        <w:rPr>
          <w:iCs/>
          <w:noProof/>
        </w:rPr>
        <w:t>jeb 5,</w:t>
      </w:r>
      <w:r w:rsidR="00DC3156" w:rsidRPr="008A1461">
        <w:rPr>
          <w:iCs/>
          <w:noProof/>
        </w:rPr>
        <w:t>3</w:t>
      </w:r>
      <w:r w:rsidR="00025F9D" w:rsidRPr="008A1461">
        <w:rPr>
          <w:iCs/>
          <w:noProof/>
        </w:rPr>
        <w:t> %</w:t>
      </w:r>
      <w:r w:rsidR="00512350" w:rsidRPr="008A1461">
        <w:rPr>
          <w:iCs/>
          <w:noProof/>
        </w:rPr>
        <w:t>, s</w:t>
      </w:r>
      <w:r w:rsidR="00B63C21" w:rsidRPr="008A1461">
        <w:rPr>
          <w:iCs/>
          <w:noProof/>
        </w:rPr>
        <w:t>avukārt, kapitālie</w:t>
      </w:r>
      <w:r w:rsidR="00A01EA4" w:rsidRPr="008A1461">
        <w:rPr>
          <w:iCs/>
          <w:noProof/>
        </w:rPr>
        <w:t xml:space="preserve"> izdevumi </w:t>
      </w:r>
      <w:r w:rsidR="00B63C21" w:rsidRPr="008A1461">
        <w:rPr>
          <w:iCs/>
          <w:noProof/>
        </w:rPr>
        <w:t>202</w:t>
      </w:r>
      <w:r w:rsidR="00512350" w:rsidRPr="008A1461">
        <w:rPr>
          <w:iCs/>
          <w:noProof/>
        </w:rPr>
        <w:t>4</w:t>
      </w:r>
      <w:r w:rsidR="00B63C21" w:rsidRPr="008A1461">
        <w:rPr>
          <w:iCs/>
          <w:noProof/>
        </w:rPr>
        <w:t>.</w:t>
      </w:r>
      <w:r w:rsidR="00051A5E" w:rsidRPr="008A1461">
        <w:rPr>
          <w:iCs/>
          <w:noProof/>
        </w:rPr>
        <w:t> </w:t>
      </w:r>
      <w:r w:rsidR="00B63C21" w:rsidRPr="008A1461">
        <w:rPr>
          <w:iCs/>
          <w:noProof/>
        </w:rPr>
        <w:t xml:space="preserve">gadā </w:t>
      </w:r>
      <w:r w:rsidR="00512350" w:rsidRPr="008A1461">
        <w:rPr>
          <w:iCs/>
          <w:noProof/>
        </w:rPr>
        <w:t>samazinājušies</w:t>
      </w:r>
      <w:r w:rsidR="00B63C21" w:rsidRPr="008A1461">
        <w:rPr>
          <w:iCs/>
          <w:noProof/>
        </w:rPr>
        <w:t xml:space="preserve"> par </w:t>
      </w:r>
      <w:r w:rsidR="00A51601" w:rsidRPr="008A1461">
        <w:rPr>
          <w:iCs/>
          <w:noProof/>
        </w:rPr>
        <w:t>87</w:t>
      </w:r>
      <w:r w:rsidR="00512350" w:rsidRPr="008A1461">
        <w:rPr>
          <w:iCs/>
          <w:noProof/>
        </w:rPr>
        <w:t>,</w:t>
      </w:r>
      <w:r w:rsidR="00A51601" w:rsidRPr="008A1461">
        <w:rPr>
          <w:iCs/>
          <w:noProof/>
        </w:rPr>
        <w:t>4</w:t>
      </w:r>
      <w:r w:rsidR="00051A5E" w:rsidRPr="008A1461">
        <w:rPr>
          <w:iCs/>
          <w:noProof/>
        </w:rPr>
        <w:t> </w:t>
      </w:r>
      <w:r w:rsidR="00B63C21" w:rsidRPr="008A1461">
        <w:rPr>
          <w:iCs/>
          <w:noProof/>
        </w:rPr>
        <w:t xml:space="preserve">milj. </w:t>
      </w:r>
      <w:r w:rsidR="00B63C21" w:rsidRPr="008A1461">
        <w:rPr>
          <w:i/>
          <w:noProof/>
        </w:rPr>
        <w:t>euro</w:t>
      </w:r>
      <w:r w:rsidR="00081CDE" w:rsidRPr="008A1461">
        <w:rPr>
          <w:i/>
          <w:noProof/>
        </w:rPr>
        <w:t xml:space="preserve"> </w:t>
      </w:r>
      <w:r w:rsidR="00081CDE" w:rsidRPr="008A1461">
        <w:rPr>
          <w:iCs/>
          <w:noProof/>
        </w:rPr>
        <w:t>jeb 1</w:t>
      </w:r>
      <w:r w:rsidR="00A51601" w:rsidRPr="008A1461">
        <w:rPr>
          <w:iCs/>
          <w:noProof/>
        </w:rPr>
        <w:t>5</w:t>
      </w:r>
      <w:r w:rsidR="00081CDE" w:rsidRPr="008A1461">
        <w:rPr>
          <w:iCs/>
          <w:noProof/>
        </w:rPr>
        <w:t>,2 %</w:t>
      </w:r>
      <w:r w:rsidR="00B63C21" w:rsidRPr="008A1461">
        <w:rPr>
          <w:iCs/>
          <w:noProof/>
        </w:rPr>
        <w:t xml:space="preserve">. </w:t>
      </w:r>
      <w:r w:rsidR="00512350" w:rsidRPr="008A1461">
        <w:rPr>
          <w:iCs/>
          <w:noProof/>
        </w:rPr>
        <w:t xml:space="preserve">Mazāk nekā pērn izdots būvniecības, kapitālā remonta un rekonstrukciju projektiem, savukārt transporta būvēm izlietots par 31,5 </w:t>
      </w:r>
      <w:r w:rsidR="00B63C21" w:rsidRPr="008A1461">
        <w:rPr>
          <w:iCs/>
          <w:noProof/>
        </w:rPr>
        <w:t>mi</w:t>
      </w:r>
      <w:r w:rsidR="00B63C21" w:rsidRPr="00512350">
        <w:rPr>
          <w:iCs/>
          <w:noProof/>
        </w:rPr>
        <w:t xml:space="preserve">lj. </w:t>
      </w:r>
      <w:r w:rsidR="00B63C21" w:rsidRPr="00512350">
        <w:rPr>
          <w:i/>
          <w:noProof/>
        </w:rPr>
        <w:t>euro</w:t>
      </w:r>
      <w:r w:rsidR="00B63C21" w:rsidRPr="00512350">
        <w:rPr>
          <w:iCs/>
          <w:noProof/>
        </w:rPr>
        <w:t xml:space="preserve"> vairāk.</w:t>
      </w:r>
    </w:p>
    <w:p w14:paraId="416913A6" w14:textId="4A550D9C" w:rsidR="00021CCC" w:rsidRDefault="00AC03D1" w:rsidP="005C1C27">
      <w:pPr>
        <w:pStyle w:val="Pamatteksts1"/>
        <w:spacing w:line="288" w:lineRule="auto"/>
        <w:rPr>
          <w:color w:val="17365D"/>
        </w:rPr>
      </w:pPr>
      <w:r>
        <w:rPr>
          <w:color w:val="17365D"/>
        </w:rPr>
        <w:t>Sākot ar 2024.</w:t>
      </w:r>
      <w:r w:rsidR="00051A5E">
        <w:rPr>
          <w:color w:val="17365D"/>
        </w:rPr>
        <w:t> </w:t>
      </w:r>
      <w:r>
        <w:rPr>
          <w:color w:val="17365D"/>
        </w:rPr>
        <w:t>gadu, s</w:t>
      </w:r>
      <w:r w:rsidR="00021CCC" w:rsidRPr="00021CCC">
        <w:rPr>
          <w:color w:val="17365D"/>
        </w:rPr>
        <w:t xml:space="preserve">tājoties spēkā </w:t>
      </w:r>
      <w:r w:rsidR="00021CCC">
        <w:rPr>
          <w:color w:val="17365D"/>
        </w:rPr>
        <w:t>ES</w:t>
      </w:r>
      <w:r w:rsidR="00021CCC" w:rsidRPr="00021CCC">
        <w:rPr>
          <w:color w:val="17365D"/>
        </w:rPr>
        <w:t xml:space="preserve"> ekonomikas pārvaldības ietvara reformai, ES dalībvalstīm vienu reizi četros vai piecos gados jāsagatavo vidēja termiņa Fiskāli strukturālais plāns, kas aizstāj ikgadējo Stabilitātes programmu un Nacionālo reformu programmu, un kurā tiek noteikta fiskālā trajektorija</w:t>
      </w:r>
      <w:r w:rsidR="00021CCC">
        <w:rPr>
          <w:rStyle w:val="FootnoteReference"/>
          <w:color w:val="17365D"/>
        </w:rPr>
        <w:footnoteReference w:id="8"/>
      </w:r>
      <w:r w:rsidR="00021CCC" w:rsidRPr="00021CCC">
        <w:rPr>
          <w:color w:val="17365D"/>
        </w:rPr>
        <w:t>.</w:t>
      </w:r>
      <w:r w:rsidR="00021CCC" w:rsidRPr="00021CCC">
        <w:t xml:space="preserve"> </w:t>
      </w:r>
      <w:r w:rsidR="00021CCC" w:rsidRPr="00021CCC">
        <w:rPr>
          <w:color w:val="17365D"/>
        </w:rPr>
        <w:t>Jaunais ES ekonomikas pārvaldības modelis izvirza tādus fiskālās disciplīnas noteikumus, kas nodrošina, ka ilgtermiņā, šobrīd līdz 2038.</w:t>
      </w:r>
      <w:r w:rsidR="00051A5E">
        <w:rPr>
          <w:color w:val="17365D"/>
        </w:rPr>
        <w:t> </w:t>
      </w:r>
      <w:r w:rsidR="00021CCC" w:rsidRPr="00021CCC">
        <w:rPr>
          <w:color w:val="17365D"/>
        </w:rPr>
        <w:t>gadam, valsts parāds atrodas zem 60</w:t>
      </w:r>
      <w:r w:rsidR="00051A5E">
        <w:rPr>
          <w:color w:val="17365D"/>
        </w:rPr>
        <w:t> </w:t>
      </w:r>
      <w:r w:rsidR="00021CCC" w:rsidRPr="00021CCC">
        <w:rPr>
          <w:color w:val="17365D"/>
        </w:rPr>
        <w:t>% no IKP un deficīts ir zem 3</w:t>
      </w:r>
      <w:r w:rsidR="00051A5E">
        <w:rPr>
          <w:color w:val="17365D"/>
        </w:rPr>
        <w:t> </w:t>
      </w:r>
      <w:r w:rsidR="00021CCC" w:rsidRPr="00021CCC">
        <w:rPr>
          <w:color w:val="17365D"/>
        </w:rPr>
        <w:t>% no IKP.</w:t>
      </w:r>
      <w:r w:rsidR="00021CCC">
        <w:rPr>
          <w:color w:val="17365D"/>
        </w:rPr>
        <w:t xml:space="preserve"> </w:t>
      </w:r>
      <w:r w:rsidR="005C1C27" w:rsidRPr="005C1C27">
        <w:rPr>
          <w:color w:val="17365D"/>
        </w:rPr>
        <w:t>Latvijas Fiskāli strukturāl</w:t>
      </w:r>
      <w:r w:rsidR="005C1C27">
        <w:rPr>
          <w:color w:val="17365D"/>
        </w:rPr>
        <w:t>ajā</w:t>
      </w:r>
      <w:r w:rsidR="005C1C27" w:rsidRPr="005C1C27">
        <w:rPr>
          <w:color w:val="17365D"/>
        </w:rPr>
        <w:t xml:space="preserve"> plān</w:t>
      </w:r>
      <w:r w:rsidR="005C1C27">
        <w:rPr>
          <w:color w:val="17365D"/>
        </w:rPr>
        <w:t>ā</w:t>
      </w:r>
      <w:r w:rsidR="005C1C27" w:rsidRPr="005C1C27">
        <w:rPr>
          <w:color w:val="17365D"/>
        </w:rPr>
        <w:t xml:space="preserve"> 2025.</w:t>
      </w:r>
      <w:r w:rsidR="00051A5E">
        <w:rPr>
          <w:color w:val="17365D"/>
        </w:rPr>
        <w:t> </w:t>
      </w:r>
      <w:r w:rsidR="005C1C27" w:rsidRPr="005C1C27">
        <w:rPr>
          <w:color w:val="17365D"/>
        </w:rPr>
        <w:t>– 2028.</w:t>
      </w:r>
      <w:r w:rsidR="00051A5E">
        <w:rPr>
          <w:color w:val="17365D"/>
        </w:rPr>
        <w:t> </w:t>
      </w:r>
      <w:r w:rsidR="005C1C27" w:rsidRPr="005C1C27">
        <w:rPr>
          <w:color w:val="17365D"/>
        </w:rPr>
        <w:t>gadam</w:t>
      </w:r>
      <w:r w:rsidR="005C1C27">
        <w:rPr>
          <w:color w:val="17365D"/>
        </w:rPr>
        <w:t xml:space="preserve"> </w:t>
      </w:r>
      <w:r w:rsidR="005C1C27" w:rsidRPr="005C1C27">
        <w:rPr>
          <w:color w:val="17365D"/>
        </w:rPr>
        <w:t>ietverto pasākumu kopums</w:t>
      </w:r>
      <w:r w:rsidR="00143CC1">
        <w:rPr>
          <w:color w:val="17365D"/>
        </w:rPr>
        <w:t>,</w:t>
      </w:r>
      <w:r w:rsidR="005C1C27" w:rsidRPr="005C1C27">
        <w:rPr>
          <w:color w:val="17365D"/>
        </w:rPr>
        <w:t xml:space="preserve"> </w:t>
      </w:r>
      <w:r>
        <w:rPr>
          <w:color w:val="17365D"/>
        </w:rPr>
        <w:t>s</w:t>
      </w:r>
      <w:r w:rsidRPr="00AC03D1">
        <w:rPr>
          <w:color w:val="17365D"/>
        </w:rPr>
        <w:t>cenārijā pie nemainīgas politikas</w:t>
      </w:r>
      <w:r w:rsidR="00143CC1">
        <w:rPr>
          <w:color w:val="17365D"/>
        </w:rPr>
        <w:t>,</w:t>
      </w:r>
      <w:r w:rsidRPr="00AC03D1">
        <w:rPr>
          <w:color w:val="17365D"/>
        </w:rPr>
        <w:t xml:space="preserve"> </w:t>
      </w:r>
      <w:r w:rsidR="005C1C27" w:rsidRPr="005C1C27">
        <w:rPr>
          <w:color w:val="17365D"/>
        </w:rPr>
        <w:t>nodrošina vispārējās valdības budžeta deficīta pieauguma pārtraukšanu un deficīta pakāpenisku samazināšanu posmā</w:t>
      </w:r>
      <w:r w:rsidR="005C1C27">
        <w:rPr>
          <w:color w:val="17365D"/>
        </w:rPr>
        <w:t xml:space="preserve"> no 2025.</w:t>
      </w:r>
      <w:r w:rsidR="00051A5E">
        <w:rPr>
          <w:color w:val="17365D"/>
        </w:rPr>
        <w:t> </w:t>
      </w:r>
      <w:r w:rsidR="005C1C27">
        <w:rPr>
          <w:color w:val="17365D"/>
        </w:rPr>
        <w:t>gada 2,9</w:t>
      </w:r>
      <w:r w:rsidR="00051A5E">
        <w:rPr>
          <w:color w:val="17365D"/>
        </w:rPr>
        <w:t> </w:t>
      </w:r>
      <w:r w:rsidR="005C1C27">
        <w:rPr>
          <w:color w:val="17365D"/>
        </w:rPr>
        <w:t>% no IKP apmērā līdz 2028.</w:t>
      </w:r>
      <w:r w:rsidR="002E68D4">
        <w:rPr>
          <w:color w:val="17365D"/>
        </w:rPr>
        <w:t> </w:t>
      </w:r>
      <w:r w:rsidR="005C1C27">
        <w:rPr>
          <w:color w:val="17365D"/>
        </w:rPr>
        <w:t xml:space="preserve">gadam </w:t>
      </w:r>
      <w:r w:rsidR="002E68D4">
        <w:rPr>
          <w:color w:val="17365D"/>
        </w:rPr>
        <w:t>2,2</w:t>
      </w:r>
      <w:r w:rsidR="00051A5E">
        <w:rPr>
          <w:color w:val="17365D"/>
        </w:rPr>
        <w:t> </w:t>
      </w:r>
      <w:r w:rsidR="002E68D4">
        <w:rPr>
          <w:color w:val="17365D"/>
        </w:rPr>
        <w:t>% no IKP apmērā.</w:t>
      </w:r>
      <w:r w:rsidR="002E68D4" w:rsidRPr="002E68D4">
        <w:t xml:space="preserve"> </w:t>
      </w:r>
      <w:r w:rsidR="002E68D4" w:rsidRPr="002E68D4">
        <w:rPr>
          <w:color w:val="17365D"/>
        </w:rPr>
        <w:t xml:space="preserve">Atbilstoši </w:t>
      </w:r>
      <w:r w:rsidR="002E68D4" w:rsidRPr="005C1C27">
        <w:rPr>
          <w:color w:val="17365D"/>
        </w:rPr>
        <w:t>Latvijas Fiskāli strukturāl</w:t>
      </w:r>
      <w:r w:rsidR="002E68D4">
        <w:rPr>
          <w:color w:val="17365D"/>
        </w:rPr>
        <w:t>ajam</w:t>
      </w:r>
      <w:r w:rsidR="002E68D4" w:rsidRPr="005C1C27">
        <w:rPr>
          <w:color w:val="17365D"/>
        </w:rPr>
        <w:t xml:space="preserve"> plān</w:t>
      </w:r>
      <w:r w:rsidR="002E68D4">
        <w:rPr>
          <w:color w:val="17365D"/>
        </w:rPr>
        <w:t>am</w:t>
      </w:r>
      <w:r w:rsidR="002E68D4" w:rsidRPr="002E68D4">
        <w:rPr>
          <w:color w:val="17365D"/>
        </w:rPr>
        <w:t xml:space="preserve"> </w:t>
      </w:r>
      <w:r w:rsidR="002E68D4">
        <w:rPr>
          <w:color w:val="17365D"/>
        </w:rPr>
        <w:t>v</w:t>
      </w:r>
      <w:r w:rsidR="002E68D4" w:rsidRPr="002E68D4">
        <w:rPr>
          <w:color w:val="17365D"/>
        </w:rPr>
        <w:t>ispārējās valdības parāds turpin</w:t>
      </w:r>
      <w:r w:rsidR="002E68D4">
        <w:rPr>
          <w:color w:val="17365D"/>
        </w:rPr>
        <w:t xml:space="preserve">ās </w:t>
      </w:r>
      <w:r w:rsidR="002E68D4" w:rsidRPr="002E68D4">
        <w:rPr>
          <w:color w:val="17365D"/>
        </w:rPr>
        <w:t>pieaugt, bet līdz 2038.</w:t>
      </w:r>
      <w:r w:rsidR="00051A5E">
        <w:rPr>
          <w:color w:val="17365D"/>
        </w:rPr>
        <w:t> </w:t>
      </w:r>
      <w:r w:rsidR="002E68D4" w:rsidRPr="002E68D4">
        <w:rPr>
          <w:color w:val="17365D"/>
        </w:rPr>
        <w:t xml:space="preserve">gadam </w:t>
      </w:r>
      <w:r w:rsidR="002E68D4">
        <w:rPr>
          <w:color w:val="17365D"/>
        </w:rPr>
        <w:t xml:space="preserve">tas </w:t>
      </w:r>
      <w:r w:rsidR="002E68D4" w:rsidRPr="002E68D4">
        <w:rPr>
          <w:color w:val="17365D"/>
        </w:rPr>
        <w:t>nepārsniedz 60</w:t>
      </w:r>
      <w:r w:rsidR="00051A5E">
        <w:rPr>
          <w:color w:val="17365D"/>
        </w:rPr>
        <w:t> </w:t>
      </w:r>
      <w:r w:rsidR="002E68D4" w:rsidRPr="002E68D4">
        <w:rPr>
          <w:color w:val="17365D"/>
        </w:rPr>
        <w:t>% robežu</w:t>
      </w:r>
      <w:r w:rsidR="002E68D4">
        <w:rPr>
          <w:color w:val="17365D"/>
        </w:rPr>
        <w:t>.</w:t>
      </w:r>
    </w:p>
    <w:p w14:paraId="43D33F0E" w14:textId="4613931E" w:rsidR="002E68D4" w:rsidRDefault="002E68D4" w:rsidP="005C1C27">
      <w:pPr>
        <w:pStyle w:val="Pamatteksts1"/>
        <w:spacing w:line="288" w:lineRule="auto"/>
        <w:rPr>
          <w:color w:val="17365D"/>
        </w:rPr>
      </w:pPr>
      <w:r>
        <w:rPr>
          <w:color w:val="17365D"/>
        </w:rPr>
        <w:t xml:space="preserve">Finanšu ministrijas </w:t>
      </w:r>
      <w:r w:rsidR="00520D5B">
        <w:rPr>
          <w:color w:val="17365D"/>
        </w:rPr>
        <w:t xml:space="preserve">šā gada februārī </w:t>
      </w:r>
      <w:r>
        <w:rPr>
          <w:color w:val="17365D"/>
        </w:rPr>
        <w:t>izstrādātais m</w:t>
      </w:r>
      <w:r w:rsidRPr="002E68D4">
        <w:rPr>
          <w:color w:val="17365D"/>
        </w:rPr>
        <w:t>akroekonomiskās attīstības scenārijs 2025.</w:t>
      </w:r>
      <w:r w:rsidR="00143CC1">
        <w:rPr>
          <w:color w:val="17365D"/>
        </w:rPr>
        <w:t xml:space="preserve"> –</w:t>
      </w:r>
      <w:r w:rsidRPr="002E68D4">
        <w:rPr>
          <w:color w:val="17365D"/>
        </w:rPr>
        <w:t>202</w:t>
      </w:r>
      <w:r w:rsidR="00520D5B">
        <w:rPr>
          <w:color w:val="17365D"/>
        </w:rPr>
        <w:t>9</w:t>
      </w:r>
      <w:r w:rsidRPr="002E68D4">
        <w:rPr>
          <w:color w:val="17365D"/>
        </w:rPr>
        <w:t>.</w:t>
      </w:r>
      <w:r w:rsidR="00051A5E">
        <w:rPr>
          <w:color w:val="17365D"/>
        </w:rPr>
        <w:t> </w:t>
      </w:r>
      <w:r w:rsidRPr="002E68D4">
        <w:rPr>
          <w:color w:val="17365D"/>
        </w:rPr>
        <w:t xml:space="preserve">gadam paredz, </w:t>
      </w:r>
      <w:r>
        <w:rPr>
          <w:color w:val="17365D"/>
        </w:rPr>
        <w:t xml:space="preserve">ka </w:t>
      </w:r>
      <w:r w:rsidRPr="002E68D4">
        <w:rPr>
          <w:color w:val="17365D"/>
        </w:rPr>
        <w:t>2025.</w:t>
      </w:r>
      <w:r w:rsidR="00051A5E">
        <w:rPr>
          <w:color w:val="17365D"/>
        </w:rPr>
        <w:t> </w:t>
      </w:r>
      <w:r w:rsidRPr="002E68D4">
        <w:rPr>
          <w:color w:val="17365D"/>
        </w:rPr>
        <w:t xml:space="preserve">gadā </w:t>
      </w:r>
      <w:r>
        <w:rPr>
          <w:color w:val="17365D"/>
        </w:rPr>
        <w:t xml:space="preserve">ekonomiskā </w:t>
      </w:r>
      <w:r w:rsidRPr="002E68D4">
        <w:rPr>
          <w:color w:val="17365D"/>
        </w:rPr>
        <w:t xml:space="preserve">izaugsme </w:t>
      </w:r>
      <w:r w:rsidR="00520D5B">
        <w:rPr>
          <w:color w:val="17365D"/>
        </w:rPr>
        <w:t>sasniegs 1,2</w:t>
      </w:r>
      <w:r w:rsidR="00C91445">
        <w:rPr>
          <w:color w:val="17365D"/>
        </w:rPr>
        <w:t> </w:t>
      </w:r>
      <w:r w:rsidR="00520D5B">
        <w:rPr>
          <w:color w:val="17365D"/>
        </w:rPr>
        <w:t>%</w:t>
      </w:r>
      <w:r w:rsidR="00520D5B" w:rsidRPr="002E68D4">
        <w:rPr>
          <w:color w:val="17365D"/>
        </w:rPr>
        <w:t xml:space="preserve"> </w:t>
      </w:r>
      <w:r w:rsidRPr="002E68D4">
        <w:rPr>
          <w:color w:val="17365D"/>
        </w:rPr>
        <w:t>un nākamajos gados tā turpināsies aptuveni 2,</w:t>
      </w:r>
      <w:r w:rsidR="00520D5B">
        <w:rPr>
          <w:color w:val="17365D"/>
        </w:rPr>
        <w:t>2</w:t>
      </w:r>
      <w:r w:rsidR="00AC03D1">
        <w:rPr>
          <w:color w:val="17365D"/>
        </w:rPr>
        <w:t> </w:t>
      </w:r>
      <w:r w:rsidRPr="002E68D4">
        <w:rPr>
          <w:color w:val="17365D"/>
        </w:rPr>
        <w:t xml:space="preserve">% apmērā. </w:t>
      </w:r>
      <w:r w:rsidR="00520D5B">
        <w:rPr>
          <w:color w:val="17365D"/>
        </w:rPr>
        <w:t xml:space="preserve">Izaugsmes </w:t>
      </w:r>
      <w:r w:rsidRPr="002E68D4">
        <w:rPr>
          <w:color w:val="17365D"/>
        </w:rPr>
        <w:t>atjaunošanos veicinās sabiedriskā un privātā patēriņa pieaugums, kā arī intensīvāka ES fondu investīciju apguve un straujāks eksporta kāpums.</w:t>
      </w:r>
    </w:p>
    <w:p w14:paraId="29F46B52" w14:textId="6129F356" w:rsidR="00AC03D1" w:rsidRPr="005C1C27" w:rsidRDefault="004B0C77" w:rsidP="005C1C27">
      <w:pPr>
        <w:pStyle w:val="Pamatteksts1"/>
        <w:spacing w:line="288" w:lineRule="auto"/>
        <w:rPr>
          <w:color w:val="17365D"/>
        </w:rPr>
      </w:pPr>
      <w:r>
        <w:rPr>
          <w:color w:val="17365D"/>
        </w:rPr>
        <w:lastRenderedPageBreak/>
        <w:t>Likumā “Par v</w:t>
      </w:r>
      <w:r w:rsidR="00AC03D1" w:rsidRPr="00AC03D1">
        <w:rPr>
          <w:color w:val="17365D"/>
        </w:rPr>
        <w:t>alsts budžet</w:t>
      </w:r>
      <w:r>
        <w:rPr>
          <w:color w:val="17365D"/>
        </w:rPr>
        <w:t>u</w:t>
      </w:r>
      <w:r w:rsidR="00AC03D1" w:rsidRPr="00AC03D1">
        <w:rPr>
          <w:color w:val="17365D"/>
        </w:rPr>
        <w:t xml:space="preserve"> 2025.</w:t>
      </w:r>
      <w:r w:rsidR="00051A5E">
        <w:rPr>
          <w:color w:val="17365D"/>
        </w:rPr>
        <w:t> </w:t>
      </w:r>
      <w:r w:rsidR="00AC03D1" w:rsidRPr="00AC03D1">
        <w:rPr>
          <w:color w:val="17365D"/>
        </w:rPr>
        <w:t>gadam un budžeta ietvar</w:t>
      </w:r>
      <w:r>
        <w:rPr>
          <w:color w:val="17365D"/>
        </w:rPr>
        <w:t>u</w:t>
      </w:r>
      <w:r w:rsidR="00AC03D1" w:rsidRPr="00AC03D1">
        <w:rPr>
          <w:color w:val="17365D"/>
        </w:rPr>
        <w:t xml:space="preserve"> 2025., 2026. un 2027.</w:t>
      </w:r>
      <w:r w:rsidR="00051A5E">
        <w:rPr>
          <w:color w:val="17365D"/>
        </w:rPr>
        <w:t> </w:t>
      </w:r>
      <w:r w:rsidR="00AC03D1" w:rsidRPr="00AC03D1">
        <w:rPr>
          <w:color w:val="17365D"/>
        </w:rPr>
        <w:t>gadam</w:t>
      </w:r>
      <w:r>
        <w:rPr>
          <w:color w:val="17365D"/>
        </w:rPr>
        <w:t>”</w:t>
      </w:r>
      <w:r w:rsidR="00AC03D1" w:rsidRPr="00AC03D1">
        <w:rPr>
          <w:color w:val="17365D"/>
        </w:rPr>
        <w:t xml:space="preserve"> par vienīgo vidēja termiņa budžeta </w:t>
      </w:r>
      <w:r>
        <w:rPr>
          <w:color w:val="17365D"/>
        </w:rPr>
        <w:t xml:space="preserve">politikas </w:t>
      </w:r>
      <w:r w:rsidR="00AC03D1" w:rsidRPr="00AC03D1">
        <w:rPr>
          <w:color w:val="17365D"/>
        </w:rPr>
        <w:t>prioritāro attīstības virzienu noteikta drošība</w:t>
      </w:r>
      <w:r w:rsidR="00AC03D1">
        <w:rPr>
          <w:color w:val="17365D"/>
        </w:rPr>
        <w:t>.</w:t>
      </w:r>
    </w:p>
    <w:p w14:paraId="6F990265" w14:textId="077B17E1" w:rsidR="004B48B0" w:rsidRDefault="004B48B0" w:rsidP="00173E3C">
      <w:pPr>
        <w:pStyle w:val="Pamatteksts1"/>
        <w:spacing w:line="288" w:lineRule="auto"/>
        <w:rPr>
          <w:color w:val="17365D"/>
          <w:highlight w:val="yellow"/>
        </w:rPr>
      </w:pPr>
      <w:r w:rsidRPr="0C4147C3">
        <w:rPr>
          <w:color w:val="17365D" w:themeColor="text2" w:themeShade="BF"/>
        </w:rPr>
        <w:t xml:space="preserve">2024. gadā Latvijas valsts kredītreitings stabili saglabājās augstajā, investīcijām drošajā “A” grupā. </w:t>
      </w:r>
      <w:r w:rsidRPr="0C4147C3">
        <w:rPr>
          <w:i/>
          <w:color w:val="17365D" w:themeColor="text2" w:themeShade="BF"/>
        </w:rPr>
        <w:t>Moody`s Investors Services</w:t>
      </w:r>
      <w:r w:rsidRPr="0C4147C3">
        <w:rPr>
          <w:color w:val="17365D" w:themeColor="text2" w:themeShade="BF"/>
        </w:rPr>
        <w:t xml:space="preserve"> un </w:t>
      </w:r>
      <w:r w:rsidRPr="0C4147C3">
        <w:rPr>
          <w:i/>
          <w:color w:val="17365D" w:themeColor="text2" w:themeShade="BF"/>
        </w:rPr>
        <w:t>Fitch Ratings</w:t>
      </w:r>
      <w:r w:rsidRPr="0C4147C3">
        <w:rPr>
          <w:color w:val="17365D" w:themeColor="text2" w:themeShade="BF"/>
        </w:rPr>
        <w:t xml:space="preserve"> saglabāja Latvijas kredītreitingu līdzšinējos līmeņos. </w:t>
      </w:r>
      <w:r w:rsidRPr="0C4147C3">
        <w:rPr>
          <w:i/>
          <w:color w:val="17365D" w:themeColor="text2" w:themeShade="BF"/>
        </w:rPr>
        <w:t xml:space="preserve">Moody’s </w:t>
      </w:r>
      <w:r w:rsidRPr="0C4147C3">
        <w:rPr>
          <w:color w:val="17365D" w:themeColor="text2" w:themeShade="BF"/>
        </w:rPr>
        <w:t xml:space="preserve">arī saglabāja nemainīgu (stabilu) kredītreitinga nākotnes novērtējumu. </w:t>
      </w:r>
      <w:r w:rsidRPr="0C4147C3">
        <w:rPr>
          <w:i/>
          <w:color w:val="17365D" w:themeColor="text2" w:themeShade="BF"/>
        </w:rPr>
        <w:t>Fitch Ratings</w:t>
      </w:r>
      <w:r w:rsidRPr="0C4147C3">
        <w:rPr>
          <w:color w:val="17365D" w:themeColor="text2" w:themeShade="BF"/>
        </w:rPr>
        <w:t xml:space="preserve"> 2024.</w:t>
      </w:r>
      <w:r w:rsidR="00C91445">
        <w:rPr>
          <w:color w:val="17365D" w:themeColor="text2" w:themeShade="BF"/>
        </w:rPr>
        <w:t> </w:t>
      </w:r>
      <w:r w:rsidR="00180F03" w:rsidRPr="0C4147C3">
        <w:rPr>
          <w:color w:val="17365D" w:themeColor="text2" w:themeShade="BF"/>
        </w:rPr>
        <w:t>gada 15.</w:t>
      </w:r>
      <w:r w:rsidR="00C91445">
        <w:t> </w:t>
      </w:r>
      <w:r w:rsidR="00180F03" w:rsidRPr="0C4147C3">
        <w:rPr>
          <w:color w:val="17365D" w:themeColor="text2" w:themeShade="BF"/>
        </w:rPr>
        <w:t>novembrī</w:t>
      </w:r>
      <w:r w:rsidRPr="0C4147C3">
        <w:rPr>
          <w:color w:val="17365D" w:themeColor="text2" w:themeShade="BF"/>
        </w:rPr>
        <w:t xml:space="preserve"> </w:t>
      </w:r>
      <w:r w:rsidR="002A4404" w:rsidRPr="0C4147C3">
        <w:rPr>
          <w:color w:val="17365D" w:themeColor="text2" w:themeShade="BF"/>
        </w:rPr>
        <w:t xml:space="preserve">Latvijas </w:t>
      </w:r>
      <w:r w:rsidRPr="0C4147C3">
        <w:rPr>
          <w:color w:val="17365D" w:themeColor="text2" w:themeShade="BF"/>
        </w:rPr>
        <w:t xml:space="preserve">kredītreitinga nākotnes novērtējumu mainīja no pozitīva uz stabilu, ko pamatoja ar to, ka vidējā termiņā, ņemot vērā ģeopolitiskās situācijas ietekmi, Latvijas ekonomikas izaugsme nominālā izteiksmē būs lēnāka nekā aģentūra iepriekš prognozēja, kā rezultātā valsts budžeta deficīts vidējā termiņā palielināsies, izraisot vispārējās valdības parāda līmeņa pakāpenisku pieaugumu. </w:t>
      </w:r>
      <w:r w:rsidRPr="0C4147C3">
        <w:rPr>
          <w:i/>
          <w:color w:val="17365D" w:themeColor="text2" w:themeShade="BF"/>
        </w:rPr>
        <w:t>S&amp;P Global</w:t>
      </w:r>
      <w:r w:rsidRPr="0C4147C3">
        <w:rPr>
          <w:color w:val="17365D" w:themeColor="text2" w:themeShade="BF"/>
        </w:rPr>
        <w:t>, savukārt, 2024.</w:t>
      </w:r>
      <w:r w:rsidR="00C91445">
        <w:rPr>
          <w:color w:val="17365D" w:themeColor="text2" w:themeShade="BF"/>
        </w:rPr>
        <w:t> </w:t>
      </w:r>
      <w:r w:rsidR="00180F03" w:rsidRPr="0C4147C3">
        <w:rPr>
          <w:color w:val="17365D" w:themeColor="text2" w:themeShade="BF"/>
        </w:rPr>
        <w:t>gada 31.</w:t>
      </w:r>
      <w:r w:rsidR="00C91445">
        <w:rPr>
          <w:color w:val="17365D" w:themeColor="text2" w:themeShade="BF"/>
        </w:rPr>
        <w:t> </w:t>
      </w:r>
      <w:r w:rsidR="00180F03" w:rsidRPr="0C4147C3">
        <w:rPr>
          <w:color w:val="17365D" w:themeColor="text2" w:themeShade="BF"/>
        </w:rPr>
        <w:t>maijā</w:t>
      </w:r>
      <w:r w:rsidRPr="0C4147C3">
        <w:rPr>
          <w:color w:val="17365D" w:themeColor="text2" w:themeShade="BF"/>
        </w:rPr>
        <w:t xml:space="preserve"> </w:t>
      </w:r>
      <w:r w:rsidR="00180F03" w:rsidRPr="0C4147C3">
        <w:rPr>
          <w:color w:val="17365D" w:themeColor="text2" w:themeShade="BF"/>
        </w:rPr>
        <w:t xml:space="preserve">pazemināja Latvijas kredītreitingu par vienu pakāpi no A+ līmeņa līdz A līmenim, nosakot stabilu kredītreitinga nākotnes novērtējumu un pamatojot savu lēmumu ar to, ka Krievijas – Ukrainas karš un reģionālie ģeopolitiskie riski vidējā termiņā turpinās ietekmēt Latvijas fiskālos rādītājus, ekonomisko izaugsmi un starptautisko konkurētspēju, lai gan šīs ietekmes apmēru joprojām ir grūti precīzi novērtēt. Lai gan Latvijas ekonomikas un fiskālie rādītāji līdz šim kopumā ir bijuši noturīgi pret netiešo Krievijas – Ukrainas kara ietekmi, taču, pēc aģentūras </w:t>
      </w:r>
      <w:r w:rsidR="00180F03" w:rsidRPr="0C4147C3">
        <w:rPr>
          <w:i/>
          <w:color w:val="17365D" w:themeColor="text2" w:themeShade="BF"/>
        </w:rPr>
        <w:t>S&amp;P Global domām</w:t>
      </w:r>
      <w:r w:rsidR="00180F03" w:rsidRPr="0C4147C3">
        <w:rPr>
          <w:color w:val="17365D" w:themeColor="text2" w:themeShade="BF"/>
        </w:rPr>
        <w:t xml:space="preserve">, ekonomikas ātrāku izaugsmes atjaunošanos un valsts budžeta deficīta līmeņa samazināšanos var aizkavēt izdevumu pieaugums prioritārām jomām </w:t>
      </w:r>
      <w:r w:rsidR="00C91445">
        <w:rPr>
          <w:color w:val="17365D" w:themeColor="text2" w:themeShade="BF"/>
        </w:rPr>
        <w:t>–</w:t>
      </w:r>
      <w:r w:rsidR="00180F03" w:rsidRPr="0C4147C3">
        <w:rPr>
          <w:color w:val="17365D" w:themeColor="text2" w:themeShade="BF"/>
        </w:rPr>
        <w:t xml:space="preserve"> valsts drošībai un aizsardzībai.</w:t>
      </w:r>
    </w:p>
    <w:p w14:paraId="2C0A591F" w14:textId="612E3113" w:rsidR="00A47DD2" w:rsidRPr="00B4329B" w:rsidRDefault="00A47DD2" w:rsidP="00B03D20">
      <w:pPr>
        <w:pStyle w:val="Pamatteksts1"/>
        <w:spacing w:line="288" w:lineRule="auto"/>
        <w:rPr>
          <w:color w:val="17365D"/>
        </w:rPr>
      </w:pPr>
      <w:r w:rsidRPr="281B187A">
        <w:rPr>
          <w:color w:val="17365D" w:themeColor="text2" w:themeShade="BF"/>
        </w:rPr>
        <w:t xml:space="preserve">Latvijas Republikas </w:t>
      </w:r>
      <w:r w:rsidR="003B03D1" w:rsidRPr="281B187A">
        <w:rPr>
          <w:color w:val="17365D" w:themeColor="text2" w:themeShade="BF"/>
        </w:rPr>
        <w:t xml:space="preserve">konoslidētais </w:t>
      </w:r>
      <w:r w:rsidRPr="281B187A">
        <w:rPr>
          <w:color w:val="17365D" w:themeColor="text2" w:themeShade="BF"/>
        </w:rPr>
        <w:t>20</w:t>
      </w:r>
      <w:r w:rsidR="00AF1C8B" w:rsidRPr="281B187A">
        <w:rPr>
          <w:color w:val="17365D" w:themeColor="text2" w:themeShade="BF"/>
        </w:rPr>
        <w:t>2</w:t>
      </w:r>
      <w:r w:rsidR="00B44726" w:rsidRPr="281B187A">
        <w:rPr>
          <w:color w:val="17365D" w:themeColor="text2" w:themeShade="BF"/>
        </w:rPr>
        <w:t>4</w:t>
      </w:r>
      <w:r w:rsidRPr="281B187A">
        <w:rPr>
          <w:color w:val="17365D" w:themeColor="text2" w:themeShade="BF"/>
        </w:rPr>
        <w:t>. gada pārskats (turpmāk – Pārskats) sagatavots atbilstoši Likuma par budžetu un finanšu vadību 31. panta prasībām</w:t>
      </w:r>
      <w:r w:rsidR="00FE7EC8" w:rsidRPr="281B187A">
        <w:rPr>
          <w:color w:val="17365D" w:themeColor="text2" w:themeShade="BF"/>
        </w:rPr>
        <w:t xml:space="preserve"> un struktūrai</w:t>
      </w:r>
      <w:r w:rsidRPr="281B187A">
        <w:rPr>
          <w:color w:val="17365D" w:themeColor="text2" w:themeShade="BF"/>
        </w:rPr>
        <w:t xml:space="preserve">, kas noteikta Ministru kabineta </w:t>
      </w:r>
      <w:r w:rsidR="00FE7EC8" w:rsidRPr="281B187A">
        <w:rPr>
          <w:color w:val="17365D" w:themeColor="text2" w:themeShade="BF"/>
        </w:rPr>
        <w:t>2021. gada 28. septembra noteikumos Nr. 652 “Gada pārskata sagatavošanas kārtība”</w:t>
      </w:r>
      <w:r w:rsidR="00633726" w:rsidRPr="281B187A">
        <w:rPr>
          <w:color w:val="17365D" w:themeColor="text2" w:themeShade="BF"/>
        </w:rPr>
        <w:t>,</w:t>
      </w:r>
      <w:r w:rsidR="00FE7EC8" w:rsidRPr="281B187A">
        <w:rPr>
          <w:color w:val="17365D" w:themeColor="text2" w:themeShade="BF"/>
        </w:rPr>
        <w:t xml:space="preserve"> </w:t>
      </w:r>
      <w:r w:rsidRPr="281B187A">
        <w:rPr>
          <w:color w:val="17365D" w:themeColor="text2" w:themeShade="BF"/>
        </w:rPr>
        <w:t>par periodu no 20</w:t>
      </w:r>
      <w:r w:rsidR="00FD4BD0" w:rsidRPr="281B187A">
        <w:rPr>
          <w:color w:val="17365D" w:themeColor="text2" w:themeShade="BF"/>
        </w:rPr>
        <w:t>2</w:t>
      </w:r>
      <w:r w:rsidR="00B44726" w:rsidRPr="281B187A">
        <w:rPr>
          <w:color w:val="17365D" w:themeColor="text2" w:themeShade="BF"/>
        </w:rPr>
        <w:t>4</w:t>
      </w:r>
      <w:r w:rsidRPr="281B187A">
        <w:rPr>
          <w:color w:val="17365D" w:themeColor="text2" w:themeShade="BF"/>
        </w:rPr>
        <w:t>. gada 1. janvāra līdz 20</w:t>
      </w:r>
      <w:r w:rsidR="00701FFF" w:rsidRPr="281B187A">
        <w:rPr>
          <w:color w:val="17365D" w:themeColor="text2" w:themeShade="BF"/>
        </w:rPr>
        <w:t>2</w:t>
      </w:r>
      <w:r w:rsidR="00B44726" w:rsidRPr="281B187A">
        <w:rPr>
          <w:color w:val="17365D" w:themeColor="text2" w:themeShade="BF"/>
        </w:rPr>
        <w:t>4</w:t>
      </w:r>
      <w:r w:rsidRPr="281B187A">
        <w:rPr>
          <w:color w:val="17365D" w:themeColor="text2" w:themeShade="BF"/>
        </w:rPr>
        <w:t xml:space="preserve">. gada 31. decembrim, apkopojot </w:t>
      </w:r>
      <w:r w:rsidR="00073EC6" w:rsidRPr="281B187A">
        <w:rPr>
          <w:color w:val="17365D" w:themeColor="text2" w:themeShade="BF"/>
        </w:rPr>
        <w:t xml:space="preserve">informāciju no </w:t>
      </w:r>
      <w:r w:rsidRPr="281B187A">
        <w:rPr>
          <w:color w:val="17365D" w:themeColor="text2" w:themeShade="BF"/>
        </w:rPr>
        <w:t xml:space="preserve">ministriju, </w:t>
      </w:r>
      <w:r w:rsidR="00633726" w:rsidRPr="281B187A">
        <w:rPr>
          <w:color w:val="17365D" w:themeColor="text2" w:themeShade="BF"/>
        </w:rPr>
        <w:t xml:space="preserve">citu </w:t>
      </w:r>
      <w:r w:rsidRPr="281B187A">
        <w:rPr>
          <w:color w:val="17365D" w:themeColor="text2" w:themeShade="BF"/>
        </w:rPr>
        <w:t>centrālo valst</w:t>
      </w:r>
      <w:r w:rsidR="00073EC6" w:rsidRPr="281B187A">
        <w:rPr>
          <w:color w:val="17365D" w:themeColor="text2" w:themeShade="BF"/>
        </w:rPr>
        <w:t>s iestāžu un pašvaldību pārskatiem, ikgadējā pārskata par valsts budžeta finanšu uzskaiti</w:t>
      </w:r>
      <w:r w:rsidRPr="281B187A">
        <w:rPr>
          <w:color w:val="17365D" w:themeColor="text2" w:themeShade="BF"/>
        </w:rPr>
        <w:t xml:space="preserve"> </w:t>
      </w:r>
      <w:r w:rsidR="00073EC6" w:rsidRPr="281B187A">
        <w:rPr>
          <w:color w:val="17365D" w:themeColor="text2" w:themeShade="BF"/>
        </w:rPr>
        <w:t>un ikgadējā pārskata par Valsts ieņēmumu dienesta administrētajiem nodokļiem, nodevām un citiem tā administrētajiem uz valsts bu</w:t>
      </w:r>
      <w:r w:rsidR="003A47D9" w:rsidRPr="281B187A">
        <w:rPr>
          <w:color w:val="17365D" w:themeColor="text2" w:themeShade="BF"/>
        </w:rPr>
        <w:t>džetu attiecināmiem maksājumiem</w:t>
      </w:r>
      <w:r w:rsidRPr="281B187A">
        <w:rPr>
          <w:color w:val="17365D" w:themeColor="text2" w:themeShade="BF"/>
        </w:rPr>
        <w:t>.</w:t>
      </w:r>
    </w:p>
    <w:p w14:paraId="2409B9BA" w14:textId="7CE76F55" w:rsidR="00F35DBB" w:rsidRPr="00EA03B1" w:rsidRDefault="00F35DBB" w:rsidP="00B03D20">
      <w:pPr>
        <w:pStyle w:val="Pamatteksts1"/>
        <w:spacing w:line="288" w:lineRule="auto"/>
        <w:rPr>
          <w:color w:val="17365D"/>
        </w:rPr>
      </w:pPr>
      <w:r w:rsidRPr="00B4329B">
        <w:rPr>
          <w:color w:val="17365D"/>
        </w:rPr>
        <w:t xml:space="preserve">Pārskatā ietvertie valsts budžeta iestāžu, no valsts budžeta daļēji finansētu atvasinātu publisku personu un budžeta nefinansētu iestāžu </w:t>
      </w:r>
      <w:r w:rsidR="00CB009C" w:rsidRPr="00B4329B">
        <w:rPr>
          <w:color w:val="17365D"/>
        </w:rPr>
        <w:t xml:space="preserve">gada </w:t>
      </w:r>
      <w:r w:rsidRPr="00B4329B">
        <w:rPr>
          <w:color w:val="17365D"/>
        </w:rPr>
        <w:t xml:space="preserve">pārskati un pašvaldību budžeta iestāžu un kopīgo iestāžu </w:t>
      </w:r>
      <w:r w:rsidR="00CB009C" w:rsidRPr="00B4329B">
        <w:rPr>
          <w:color w:val="17365D"/>
        </w:rPr>
        <w:t>gada</w:t>
      </w:r>
      <w:r w:rsidRPr="00B4329B">
        <w:rPr>
          <w:color w:val="17365D"/>
        </w:rPr>
        <w:t xml:space="preserve"> pārskati sagatavoti atbilstoši </w:t>
      </w:r>
      <w:r w:rsidR="003A47D9" w:rsidRPr="00B4329B">
        <w:rPr>
          <w:bCs/>
          <w:color w:val="17365D"/>
        </w:rPr>
        <w:t>Grāmatvedības likumam</w:t>
      </w:r>
      <w:r w:rsidRPr="00B4329B">
        <w:rPr>
          <w:color w:val="17365D"/>
        </w:rPr>
        <w:t xml:space="preserve">, likumam “Par pašvaldību budžetiem”, </w:t>
      </w:r>
      <w:r w:rsidR="00BA65FA" w:rsidRPr="00B4329B">
        <w:rPr>
          <w:color w:val="17365D"/>
        </w:rPr>
        <w:t xml:space="preserve">likumam </w:t>
      </w:r>
      <w:r w:rsidR="00F869C5" w:rsidRPr="00B4329B">
        <w:rPr>
          <w:color w:val="17365D"/>
        </w:rPr>
        <w:t>“Par valsts budžetu 202</w:t>
      </w:r>
      <w:r w:rsidR="00B44726">
        <w:rPr>
          <w:color w:val="17365D"/>
        </w:rPr>
        <w:t>4</w:t>
      </w:r>
      <w:r w:rsidR="00F869C5" w:rsidRPr="00B4329B">
        <w:rPr>
          <w:color w:val="17365D"/>
        </w:rPr>
        <w:t>. gadam un budžeta ietvaru 202</w:t>
      </w:r>
      <w:r w:rsidR="00B44726">
        <w:rPr>
          <w:color w:val="17365D"/>
        </w:rPr>
        <w:t>4</w:t>
      </w:r>
      <w:r w:rsidR="00F869C5" w:rsidRPr="00B4329B">
        <w:rPr>
          <w:color w:val="17365D"/>
        </w:rPr>
        <w:t>., 202</w:t>
      </w:r>
      <w:r w:rsidR="00B44726">
        <w:rPr>
          <w:color w:val="17365D"/>
        </w:rPr>
        <w:t>5</w:t>
      </w:r>
      <w:r w:rsidR="00F869C5" w:rsidRPr="00B4329B">
        <w:rPr>
          <w:color w:val="17365D"/>
        </w:rPr>
        <w:t>. un 202</w:t>
      </w:r>
      <w:r w:rsidR="00B44726">
        <w:rPr>
          <w:color w:val="17365D"/>
        </w:rPr>
        <w:t>6</w:t>
      </w:r>
      <w:r w:rsidR="00F869C5" w:rsidRPr="00B4329B">
        <w:rPr>
          <w:color w:val="17365D"/>
        </w:rPr>
        <w:t>. gadam”</w:t>
      </w:r>
      <w:r w:rsidRPr="00B4329B">
        <w:rPr>
          <w:color w:val="17365D"/>
        </w:rPr>
        <w:t xml:space="preserve"> un citiem normatīvajie</w:t>
      </w:r>
      <w:r w:rsidRPr="00EA03B1">
        <w:rPr>
          <w:color w:val="17365D"/>
        </w:rPr>
        <w:t>m aktiem budžeta un grāmatvedības jomā.</w:t>
      </w:r>
    </w:p>
    <w:p w14:paraId="2426E8A4" w14:textId="4FBEDA60" w:rsidR="00F35DBB" w:rsidRPr="00B4329B" w:rsidRDefault="008D5DE4" w:rsidP="00B03D20">
      <w:pPr>
        <w:pStyle w:val="Pamatteksts1"/>
        <w:spacing w:line="288" w:lineRule="auto"/>
        <w:rPr>
          <w:color w:val="17365D"/>
        </w:rPr>
      </w:pPr>
      <w:r w:rsidRPr="00EA03B1">
        <w:rPr>
          <w:color w:val="17365D"/>
        </w:rPr>
        <w:t>Pārskatu veido divi sējumi</w:t>
      </w:r>
      <w:r w:rsidRPr="006C7079">
        <w:rPr>
          <w:color w:val="17365D"/>
        </w:rPr>
        <w:t xml:space="preserve">, kopā </w:t>
      </w:r>
      <w:r w:rsidR="002F6DB8" w:rsidRPr="006C7079">
        <w:rPr>
          <w:color w:val="17365D"/>
        </w:rPr>
        <w:t>5</w:t>
      </w:r>
      <w:r w:rsidR="006C7079" w:rsidRPr="006C7079">
        <w:rPr>
          <w:color w:val="17365D"/>
        </w:rPr>
        <w:t>7</w:t>
      </w:r>
      <w:r w:rsidR="00D75CC8">
        <w:rPr>
          <w:color w:val="17365D"/>
        </w:rPr>
        <w:t>1</w:t>
      </w:r>
      <w:r w:rsidR="002F6DB8" w:rsidRPr="006C7079">
        <w:rPr>
          <w:color w:val="17365D"/>
        </w:rPr>
        <w:t xml:space="preserve"> </w:t>
      </w:r>
      <w:r w:rsidRPr="006C7079">
        <w:rPr>
          <w:color w:val="17365D"/>
        </w:rPr>
        <w:t>lpp. Pārskata</w:t>
      </w:r>
      <w:r w:rsidRPr="00B4329B">
        <w:rPr>
          <w:color w:val="17365D"/>
        </w:rPr>
        <w:t xml:space="preserve"> 1. sējumā iekļaut</w:t>
      </w:r>
      <w:r w:rsidR="00FE7EC8" w:rsidRPr="00B4329B">
        <w:rPr>
          <w:color w:val="17365D"/>
        </w:rPr>
        <w:t>i</w:t>
      </w:r>
      <w:r w:rsidRPr="00B4329B">
        <w:rPr>
          <w:color w:val="17365D"/>
        </w:rPr>
        <w:t xml:space="preserve"> 20</w:t>
      </w:r>
      <w:r w:rsidR="00701FFF" w:rsidRPr="00B4329B">
        <w:rPr>
          <w:color w:val="17365D"/>
        </w:rPr>
        <w:t>2</w:t>
      </w:r>
      <w:r w:rsidR="00B44726">
        <w:rPr>
          <w:color w:val="17365D"/>
        </w:rPr>
        <w:t>4</w:t>
      </w:r>
      <w:r w:rsidRPr="00B4329B">
        <w:rPr>
          <w:color w:val="17365D"/>
        </w:rPr>
        <w:t xml:space="preserve">. gada </w:t>
      </w:r>
      <w:r w:rsidR="00FE7EC8" w:rsidRPr="00B4329B">
        <w:rPr>
          <w:color w:val="17365D"/>
        </w:rPr>
        <w:t xml:space="preserve">finanšu pārskati – </w:t>
      </w:r>
      <w:r w:rsidRPr="00B4329B">
        <w:rPr>
          <w:color w:val="17365D"/>
        </w:rPr>
        <w:t>valsts konsolidēt</w:t>
      </w:r>
      <w:r w:rsidR="00336229" w:rsidRPr="00B4329B">
        <w:rPr>
          <w:color w:val="17365D"/>
        </w:rPr>
        <w:t>ā</w:t>
      </w:r>
      <w:r w:rsidRPr="00B4329B">
        <w:rPr>
          <w:color w:val="17365D"/>
        </w:rPr>
        <w:t> grāmatvedības bilance</w:t>
      </w:r>
      <w:r w:rsidR="00336229" w:rsidRPr="00B4329B">
        <w:rPr>
          <w:color w:val="17365D"/>
        </w:rPr>
        <w:t xml:space="preserve">, </w:t>
      </w:r>
      <w:r w:rsidR="00FE7EC8" w:rsidRPr="00B4329B">
        <w:rPr>
          <w:color w:val="17365D"/>
        </w:rPr>
        <w:t>konsolidētais pārskats par darbības finansiālajiem rezultātiem</w:t>
      </w:r>
      <w:r w:rsidRPr="00B4329B">
        <w:rPr>
          <w:color w:val="17365D"/>
        </w:rPr>
        <w:t xml:space="preserve">, </w:t>
      </w:r>
      <w:r w:rsidR="00FE7EC8" w:rsidRPr="00B4329B">
        <w:rPr>
          <w:color w:val="17365D"/>
        </w:rPr>
        <w:t xml:space="preserve">konsolidētais </w:t>
      </w:r>
      <w:r w:rsidRPr="00B4329B">
        <w:rPr>
          <w:color w:val="17365D"/>
        </w:rPr>
        <w:t xml:space="preserve">naudas plūsmas pārskats, </w:t>
      </w:r>
      <w:r w:rsidR="00FE7EC8" w:rsidRPr="00B4329B">
        <w:rPr>
          <w:color w:val="17365D"/>
        </w:rPr>
        <w:t xml:space="preserve">konsolidētais </w:t>
      </w:r>
      <w:r w:rsidRPr="00B4329B">
        <w:rPr>
          <w:color w:val="17365D"/>
        </w:rPr>
        <w:t>pašu kapitāla</w:t>
      </w:r>
      <w:r w:rsidR="00BC2D43" w:rsidRPr="00B4329B">
        <w:rPr>
          <w:color w:val="17365D"/>
        </w:rPr>
        <w:t xml:space="preserve"> </w:t>
      </w:r>
      <w:r w:rsidRPr="00B4329B">
        <w:rPr>
          <w:color w:val="17365D"/>
        </w:rPr>
        <w:t>izmaiņu pārskats</w:t>
      </w:r>
      <w:r w:rsidR="00336229" w:rsidRPr="00B4329B">
        <w:rPr>
          <w:color w:val="17365D"/>
        </w:rPr>
        <w:t xml:space="preserve"> </w:t>
      </w:r>
      <w:r w:rsidR="00FE7EC8" w:rsidRPr="00B4329B">
        <w:rPr>
          <w:color w:val="17365D"/>
        </w:rPr>
        <w:t xml:space="preserve">un finanšu pārskatu pielikums </w:t>
      </w:r>
      <w:r w:rsidR="00336229" w:rsidRPr="00B4329B">
        <w:rPr>
          <w:color w:val="17365D"/>
        </w:rPr>
        <w:t>ar</w:t>
      </w:r>
      <w:r w:rsidRPr="00B4329B">
        <w:rPr>
          <w:color w:val="17365D"/>
        </w:rPr>
        <w:t xml:space="preserve"> skaidrojumi</w:t>
      </w:r>
      <w:r w:rsidR="00336229" w:rsidRPr="00B4329B">
        <w:rPr>
          <w:color w:val="17365D"/>
        </w:rPr>
        <w:t>em</w:t>
      </w:r>
      <w:r w:rsidRPr="00B4329B">
        <w:rPr>
          <w:color w:val="17365D"/>
        </w:rPr>
        <w:t xml:space="preserve">. </w:t>
      </w:r>
    </w:p>
    <w:p w14:paraId="03B7ADC7" w14:textId="53BCB898" w:rsidR="008E35DD" w:rsidRPr="00B4329B" w:rsidRDefault="002E5F65" w:rsidP="002E5F65">
      <w:pPr>
        <w:pStyle w:val="Pamatteksts1"/>
        <w:spacing w:after="0" w:line="288" w:lineRule="auto"/>
        <w:rPr>
          <w:color w:val="17365D"/>
        </w:rPr>
      </w:pPr>
      <w:r w:rsidRPr="00B4329B">
        <w:rPr>
          <w:color w:val="17365D"/>
        </w:rPr>
        <w:t>Pārskata 2</w:t>
      </w:r>
      <w:r w:rsidR="001E55C0" w:rsidRPr="00B4329B">
        <w:rPr>
          <w:color w:val="17365D"/>
        </w:rPr>
        <w:t>. </w:t>
      </w:r>
      <w:r w:rsidRPr="00B4329B">
        <w:rPr>
          <w:color w:val="17365D"/>
        </w:rPr>
        <w:t>sējumā iekļauta informācija par budžetu izpildi 20</w:t>
      </w:r>
      <w:r w:rsidR="00701FFF" w:rsidRPr="00B4329B">
        <w:rPr>
          <w:color w:val="17365D"/>
        </w:rPr>
        <w:t>2</w:t>
      </w:r>
      <w:r w:rsidR="00B44726">
        <w:rPr>
          <w:color w:val="17365D"/>
        </w:rPr>
        <w:t>4</w:t>
      </w:r>
      <w:r w:rsidRPr="00B4329B">
        <w:rPr>
          <w:color w:val="17365D"/>
        </w:rPr>
        <w:t>.</w:t>
      </w:r>
      <w:r w:rsidR="00701FFF" w:rsidRPr="00B4329B">
        <w:rPr>
          <w:color w:val="17365D"/>
        </w:rPr>
        <w:t> </w:t>
      </w:r>
      <w:r w:rsidRPr="00B4329B">
        <w:rPr>
          <w:color w:val="17365D"/>
        </w:rPr>
        <w:t>gadā, kas sastāv no konsolidētā kopbudžeta izpildes pārskata un tā pielikumiem – pielikuma, kurā sniedz skaidrojumu par konsolidētā kopbudžeta izpildi, konsolidētā valsts budžeta izpildes pārskata un konsolidētā pašvaldību budžeta izpildes pārskata.</w:t>
      </w:r>
    </w:p>
    <w:p w14:paraId="63C8CC09" w14:textId="77777777" w:rsidR="00205601" w:rsidRPr="00B4329B" w:rsidRDefault="00205601" w:rsidP="001104CA">
      <w:pPr>
        <w:pStyle w:val="Pamatteksts1"/>
        <w:spacing w:after="0" w:line="288" w:lineRule="auto"/>
        <w:rPr>
          <w:color w:val="17365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828"/>
      </w:tblGrid>
      <w:tr w:rsidR="001F22B6" w:rsidRPr="00B4329B" w14:paraId="467D1FF1" w14:textId="77777777" w:rsidTr="007A24A8">
        <w:tc>
          <w:tcPr>
            <w:tcW w:w="6516" w:type="dxa"/>
          </w:tcPr>
          <w:p w14:paraId="5A17A86A" w14:textId="5DC04B74" w:rsidR="001104CA" w:rsidRPr="00B4329B" w:rsidRDefault="001104CA" w:rsidP="007A24A8">
            <w:pPr>
              <w:tabs>
                <w:tab w:val="left" w:pos="7938"/>
              </w:tabs>
              <w:ind w:firstLine="0"/>
            </w:pPr>
            <w:r w:rsidRPr="00B4329B">
              <w:t>Finanšu ministr</w:t>
            </w:r>
            <w:r w:rsidR="0007560C" w:rsidRPr="00B4329B">
              <w:t>s</w:t>
            </w:r>
            <w:r w:rsidRPr="00B4329B">
              <w:t xml:space="preserve">                      </w:t>
            </w:r>
            <w:r w:rsidR="008700C6" w:rsidRPr="00B4329B">
              <w:t xml:space="preserve"> </w:t>
            </w:r>
            <w:r w:rsidR="00A5348A" w:rsidRPr="00B4329B">
              <w:t xml:space="preserve">               </w:t>
            </w:r>
            <w:r w:rsidR="008700C6" w:rsidRPr="00B4329B">
              <w:t xml:space="preserve"> </w:t>
            </w:r>
            <w:r w:rsidRPr="00B4329B">
              <w:t xml:space="preserve">(paraksts*)                                             </w:t>
            </w:r>
          </w:p>
        </w:tc>
        <w:tc>
          <w:tcPr>
            <w:tcW w:w="2828" w:type="dxa"/>
          </w:tcPr>
          <w:p w14:paraId="58A4D49B" w14:textId="09A7B304" w:rsidR="001104CA" w:rsidRPr="00B4329B" w:rsidRDefault="003A47D9" w:rsidP="0007560C">
            <w:pPr>
              <w:pStyle w:val="Footer"/>
              <w:tabs>
                <w:tab w:val="clear" w:pos="4153"/>
                <w:tab w:val="clear" w:pos="8306"/>
              </w:tabs>
              <w:jc w:val="right"/>
              <w:rPr>
                <w:color w:val="17365D"/>
                <w:sz w:val="24"/>
              </w:rPr>
            </w:pPr>
            <w:proofErr w:type="spellStart"/>
            <w:r w:rsidRPr="00B4329B">
              <w:rPr>
                <w:color w:val="17365D"/>
                <w:sz w:val="24"/>
              </w:rPr>
              <w:t>A.Ašeradens</w:t>
            </w:r>
            <w:proofErr w:type="spellEnd"/>
          </w:p>
        </w:tc>
      </w:tr>
    </w:tbl>
    <w:p w14:paraId="32A2D2A8" w14:textId="4C009AFA" w:rsidR="001104CA" w:rsidRPr="00CC6C38" w:rsidRDefault="001104CA" w:rsidP="007A24A8">
      <w:pPr>
        <w:spacing w:before="120" w:after="0"/>
        <w:ind w:right="-879" w:firstLine="0"/>
        <w:rPr>
          <w:sz w:val="20"/>
          <w:szCs w:val="20"/>
        </w:rPr>
      </w:pPr>
      <w:r w:rsidRPr="00CC6C38">
        <w:rPr>
          <w:sz w:val="22"/>
          <w:szCs w:val="22"/>
        </w:rPr>
        <w:t>*Dokuments ir parakstīts ar drošu elektronisko parakstu</w:t>
      </w:r>
    </w:p>
    <w:sectPr w:rsidR="001104CA" w:rsidRPr="00CC6C38" w:rsidSect="007A24A8">
      <w:headerReference w:type="default" r:id="rId11"/>
      <w:footerReference w:type="default" r:id="rId12"/>
      <w:headerReference w:type="first" r:id="rId13"/>
      <w:footerReference w:type="first" r:id="rId14"/>
      <w:pgSz w:w="11906" w:h="16838" w:code="9"/>
      <w:pgMar w:top="1021" w:right="851" w:bottom="1134" w:left="1701" w:header="567" w:footer="567"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4A9C5" w14:textId="77777777" w:rsidR="00D32C01" w:rsidRDefault="00D32C01">
      <w:pPr>
        <w:spacing w:after="0"/>
      </w:pPr>
      <w:r>
        <w:separator/>
      </w:r>
    </w:p>
  </w:endnote>
  <w:endnote w:type="continuationSeparator" w:id="0">
    <w:p w14:paraId="101871D9" w14:textId="77777777" w:rsidR="00D32C01" w:rsidRDefault="00D32C01">
      <w:pPr>
        <w:spacing w:after="0"/>
      </w:pPr>
      <w:r>
        <w:continuationSeparator/>
      </w:r>
    </w:p>
  </w:endnote>
  <w:endnote w:type="continuationNotice" w:id="1">
    <w:p w14:paraId="2CFE0A2F" w14:textId="77777777" w:rsidR="00D32C01" w:rsidRDefault="00D32C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RobustaTL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39C58" w14:textId="51039271" w:rsidR="000B659E" w:rsidRDefault="00D66850" w:rsidP="00654067">
    <w:pPr>
      <w:pStyle w:val="Footer"/>
      <w:tabs>
        <w:tab w:val="clear" w:pos="8306"/>
        <w:tab w:val="left" w:pos="0"/>
        <w:tab w:val="right" w:pos="9360"/>
      </w:tabs>
    </w:pPr>
    <w:r>
      <w:rPr>
        <w:noProof/>
      </w:rPr>
      <mc:AlternateContent>
        <mc:Choice Requires="wps">
          <w:drawing>
            <wp:anchor distT="0" distB="0" distL="114300" distR="114300" simplePos="0" relativeHeight="251658241" behindDoc="0" locked="0" layoutInCell="1" allowOverlap="1" wp14:anchorId="544E7AEF" wp14:editId="6469C595">
              <wp:simplePos x="0" y="0"/>
              <wp:positionH relativeFrom="column">
                <wp:posOffset>-13335</wp:posOffset>
              </wp:positionH>
              <wp:positionV relativeFrom="paragraph">
                <wp:posOffset>-127635</wp:posOffset>
              </wp:positionV>
              <wp:extent cx="5565140" cy="442800"/>
              <wp:effectExtent l="0" t="0" r="0" b="0"/>
              <wp:wrapNone/>
              <wp:docPr id="7" name="Rectangle: Rounded Corners 7"/>
              <wp:cNvGraphicFramePr/>
              <a:graphic xmlns:a="http://schemas.openxmlformats.org/drawingml/2006/main">
                <a:graphicData uri="http://schemas.microsoft.com/office/word/2010/wordprocessingShape">
                  <wps:wsp>
                    <wps:cNvSpPr/>
                    <wps:spPr>
                      <a:xfrm>
                        <a:off x="0" y="0"/>
                        <a:ext cx="5565140" cy="442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368C181" w14:textId="539FBB1F" w:rsidR="00D66850" w:rsidRPr="00166A85" w:rsidRDefault="0000145C" w:rsidP="00587C29">
                          <w:pPr>
                            <w:ind w:firstLine="0"/>
                            <w:jc w:val="center"/>
                            <w:rPr>
                              <w:sz w:val="20"/>
                              <w:szCs w:val="20"/>
                            </w:rPr>
                          </w:pPr>
                          <w:r w:rsidRPr="0000145C">
                            <w:rPr>
                              <w:sz w:val="20"/>
                              <w:szCs w:val="20"/>
                            </w:rPr>
                            <w:t>1_02_FMInf_Zin_1</w:t>
                          </w:r>
                          <w:r w:rsidR="00B627AA">
                            <w:rPr>
                              <w:sz w:val="20"/>
                              <w:szCs w:val="20"/>
                            </w:rPr>
                            <w:t>807</w:t>
                          </w:r>
                          <w:r w:rsidRPr="0000145C">
                            <w:rPr>
                              <w:sz w:val="20"/>
                              <w:szCs w:val="20"/>
                            </w:rPr>
                            <w:t>2</w:t>
                          </w:r>
                          <w:r w:rsidR="00FD015F">
                            <w:rPr>
                              <w:sz w:val="20"/>
                              <w:szCs w:val="20"/>
                            </w:rPr>
                            <w:t>5</w:t>
                          </w:r>
                          <w:r w:rsidRPr="0000145C">
                            <w:rPr>
                              <w:sz w:val="20"/>
                              <w:szCs w:val="20"/>
                            </w:rPr>
                            <w:t xml:space="preserve">; </w:t>
                          </w:r>
                          <w:r w:rsidRPr="0000145C">
                            <w:rPr>
                              <w:iCs/>
                              <w:sz w:val="20"/>
                              <w:szCs w:val="20"/>
                            </w:rPr>
                            <w:t>Latvijas Republikas konsolidēt</w:t>
                          </w:r>
                          <w:r w:rsidR="005D2161">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pārskatu</w:t>
                          </w:r>
                          <w:r w:rsidR="006C67AF" w:rsidRPr="00166A85">
                            <w:rPr>
                              <w:sz w:val="20"/>
                              <w:szCs w:val="20"/>
                            </w:rPr>
                            <w:t>; 1.</w:t>
                          </w:r>
                          <w:r w:rsidR="00C17D0F">
                            <w:rPr>
                              <w:sz w:val="20"/>
                              <w:szCs w:val="20"/>
                            </w:rPr>
                            <w:t xml:space="preserve"> </w:t>
                          </w:r>
                          <w:r w:rsidR="006C67AF" w:rsidRPr="00166A85">
                            <w:rPr>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E7AEF" id="Rectangle: Rounded Corners 7" o:spid="_x0000_s1026" style="position:absolute;margin-left:-1.05pt;margin-top:-10.05pt;width:438.2pt;height:3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" fillcolor="#dbe5f1 [660]" stroked="f" strokeweight="1pt">
              <v:stroke dashstyle="dash"/>
              <v:textbox>
                <w:txbxContent>
                  <w:p w14:paraId="1368C181" w14:textId="539FBB1F" w:rsidR="00D66850" w:rsidRPr="00166A85" w:rsidRDefault="0000145C" w:rsidP="00587C29">
                    <w:pPr>
                      <w:ind w:firstLine="0"/>
                      <w:jc w:val="center"/>
                      <w:rPr>
                        <w:sz w:val="20"/>
                        <w:szCs w:val="20"/>
                      </w:rPr>
                    </w:pPr>
                    <w:r w:rsidRPr="0000145C">
                      <w:rPr>
                        <w:sz w:val="20"/>
                        <w:szCs w:val="20"/>
                      </w:rPr>
                      <w:t>1_02_FMInf_Zin_1</w:t>
                    </w:r>
                    <w:r w:rsidR="00B627AA">
                      <w:rPr>
                        <w:sz w:val="20"/>
                        <w:szCs w:val="20"/>
                      </w:rPr>
                      <w:t>807</w:t>
                    </w:r>
                    <w:r w:rsidRPr="0000145C">
                      <w:rPr>
                        <w:sz w:val="20"/>
                        <w:szCs w:val="20"/>
                      </w:rPr>
                      <w:t>2</w:t>
                    </w:r>
                    <w:r w:rsidR="00FD015F">
                      <w:rPr>
                        <w:sz w:val="20"/>
                        <w:szCs w:val="20"/>
                      </w:rPr>
                      <w:t>5</w:t>
                    </w:r>
                    <w:r w:rsidRPr="0000145C">
                      <w:rPr>
                        <w:sz w:val="20"/>
                        <w:szCs w:val="20"/>
                      </w:rPr>
                      <w:t xml:space="preserve">; </w:t>
                    </w:r>
                    <w:r w:rsidRPr="0000145C">
                      <w:rPr>
                        <w:iCs/>
                        <w:sz w:val="20"/>
                        <w:szCs w:val="20"/>
                      </w:rPr>
                      <w:t>Latvijas Republikas konsolidēt</w:t>
                    </w:r>
                    <w:r w:rsidR="005D2161">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pārskatu</w:t>
                    </w:r>
                    <w:r w:rsidR="006C67AF" w:rsidRPr="00166A85">
                      <w:rPr>
                        <w:sz w:val="20"/>
                        <w:szCs w:val="20"/>
                      </w:rPr>
                      <w:t>; 1.</w:t>
                    </w:r>
                    <w:r w:rsidR="00C17D0F">
                      <w:rPr>
                        <w:sz w:val="20"/>
                        <w:szCs w:val="20"/>
                      </w:rPr>
                      <w:t xml:space="preserve"> </w:t>
                    </w:r>
                    <w:r w:rsidR="006C67AF" w:rsidRPr="00166A85">
                      <w:rPr>
                        <w:sz w:val="20"/>
                        <w:szCs w:val="20"/>
                      </w:rPr>
                      <w:t>sējums</w:t>
                    </w:r>
                  </w:p>
                </w:txbxContent>
              </v:textbox>
            </v:roundrect>
          </w:pict>
        </mc:Fallback>
      </mc:AlternateContent>
    </w:r>
    <w:r>
      <w:rPr>
        <w:noProof/>
      </w:rPr>
      <mc:AlternateContent>
        <mc:Choice Requires="wps">
          <w:drawing>
            <wp:anchor distT="0" distB="0" distL="114300" distR="114300" simplePos="0" relativeHeight="251658240" behindDoc="1" locked="0" layoutInCell="1" allowOverlap="1" wp14:anchorId="5B4188A1" wp14:editId="7C236CE4">
              <wp:simplePos x="0" y="0"/>
              <wp:positionH relativeFrom="column">
                <wp:posOffset>5654675</wp:posOffset>
              </wp:positionH>
              <wp:positionV relativeFrom="paragraph">
                <wp:posOffset>-73006</wp:posOffset>
              </wp:positionV>
              <wp:extent cx="457172" cy="279713"/>
              <wp:effectExtent l="0" t="0" r="635" b="6350"/>
              <wp:wrapNone/>
              <wp:docPr id="6" name="Rectangle: Rounded Corners 6"/>
              <wp:cNvGraphicFramePr/>
              <a:graphic xmlns:a="http://schemas.openxmlformats.org/drawingml/2006/main">
                <a:graphicData uri="http://schemas.microsoft.com/office/word/2010/wordprocessingShape">
                  <wps:wsp>
                    <wps:cNvSpPr/>
                    <wps:spPr>
                      <a:xfrm>
                        <a:off x="0" y="0"/>
                        <a:ext cx="457172" cy="279713"/>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oundrect id="Rounded Rectangle 6" style="position:absolute;margin-left:445.25pt;margin-top:-5.75pt;width:36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be5f1 [660]" stroked="f" strokeweight="1pt" arcsize="10923f" w14:anchorId="2167B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">
              <v:stroke dashstyle="dash"/>
            </v:roundrect>
          </w:pict>
        </mc:Fallback>
      </mc:AlternateContent>
    </w:r>
    <w:r w:rsidR="00654067">
      <w:tab/>
    </w:r>
    <w:r w:rsidR="00654067">
      <w:tab/>
    </w:r>
    <w:r w:rsidR="00654067" w:rsidRPr="00166A85">
      <w:rPr>
        <w:color w:val="17365D"/>
      </w:rPr>
      <w:fldChar w:fldCharType="begin"/>
    </w:r>
    <w:r w:rsidR="00654067" w:rsidRPr="00166A85">
      <w:rPr>
        <w:color w:val="17365D"/>
      </w:rPr>
      <w:instrText xml:space="preserve"> PAGE   \* MERGEFORMAT </w:instrText>
    </w:r>
    <w:r w:rsidR="00654067" w:rsidRPr="00166A85">
      <w:rPr>
        <w:color w:val="17365D"/>
      </w:rPr>
      <w:fldChar w:fldCharType="separate"/>
    </w:r>
    <w:r w:rsidR="00084C09">
      <w:rPr>
        <w:noProof/>
        <w:color w:val="17365D"/>
      </w:rPr>
      <w:t>8</w:t>
    </w:r>
    <w:r w:rsidR="00654067" w:rsidRPr="00166A85">
      <w:rPr>
        <w:noProof/>
        <w:color w:val="17365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4E3F" w14:textId="77777777" w:rsidR="00587C29" w:rsidRDefault="00587C29" w:rsidP="00587C29">
    <w:pPr>
      <w:pStyle w:val="Footer"/>
      <w:tabs>
        <w:tab w:val="clear" w:pos="4153"/>
        <w:tab w:val="clear" w:pos="8306"/>
        <w:tab w:val="right" w:pos="9354"/>
      </w:tabs>
    </w:pPr>
    <w:r w:rsidRPr="00587C29">
      <w:rPr>
        <w:noProof/>
      </w:rPr>
      <mc:AlternateContent>
        <mc:Choice Requires="wps">
          <w:drawing>
            <wp:anchor distT="0" distB="0" distL="114300" distR="114300" simplePos="0" relativeHeight="251658243" behindDoc="0" locked="0" layoutInCell="1" allowOverlap="1" wp14:anchorId="76154FF3" wp14:editId="1EF2963F">
              <wp:simplePos x="0" y="0"/>
              <wp:positionH relativeFrom="column">
                <wp:posOffset>5715</wp:posOffset>
              </wp:positionH>
              <wp:positionV relativeFrom="paragraph">
                <wp:posOffset>-118110</wp:posOffset>
              </wp:positionV>
              <wp:extent cx="5546090" cy="442595"/>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5546090" cy="44259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A7842F7" w14:textId="63C71526" w:rsidR="00587C29" w:rsidRPr="00166A85" w:rsidRDefault="0000145C" w:rsidP="001E6D78">
                          <w:pPr>
                            <w:ind w:firstLine="0"/>
                            <w:jc w:val="center"/>
                            <w:rPr>
                              <w:sz w:val="20"/>
                              <w:szCs w:val="20"/>
                            </w:rPr>
                          </w:pPr>
                          <w:r w:rsidRPr="0000145C">
                            <w:rPr>
                              <w:sz w:val="20"/>
                              <w:szCs w:val="20"/>
                            </w:rPr>
                            <w:t>1_02_FMInf_Zin_</w:t>
                          </w:r>
                          <w:r w:rsidR="00FD4A89">
                            <w:rPr>
                              <w:sz w:val="20"/>
                              <w:szCs w:val="20"/>
                            </w:rPr>
                            <w:t>1</w:t>
                          </w:r>
                          <w:r w:rsidR="00B627AA">
                            <w:rPr>
                              <w:sz w:val="20"/>
                              <w:szCs w:val="20"/>
                            </w:rPr>
                            <w:t>807</w:t>
                          </w:r>
                          <w:r>
                            <w:rPr>
                              <w:sz w:val="20"/>
                              <w:szCs w:val="20"/>
                            </w:rPr>
                            <w:t>2</w:t>
                          </w:r>
                          <w:r w:rsidR="00FD015F">
                            <w:rPr>
                              <w:sz w:val="20"/>
                              <w:szCs w:val="20"/>
                            </w:rPr>
                            <w:t>5</w:t>
                          </w:r>
                          <w:r w:rsidR="001E6D78">
                            <w:rPr>
                              <w:sz w:val="20"/>
                              <w:szCs w:val="20"/>
                            </w:rPr>
                            <w:t xml:space="preserve">; </w:t>
                          </w:r>
                          <w:r w:rsidRPr="0000145C">
                            <w:rPr>
                              <w:iCs/>
                              <w:sz w:val="20"/>
                              <w:szCs w:val="20"/>
                            </w:rPr>
                            <w:t>Latvijas Republikas konsolidēt</w:t>
                          </w:r>
                          <w:r w:rsidR="005D2161">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pārskatu</w:t>
                          </w:r>
                          <w:r w:rsidR="00587C29" w:rsidRPr="00166A85">
                            <w:rPr>
                              <w:sz w:val="20"/>
                              <w:szCs w:val="20"/>
                            </w:rPr>
                            <w:t>; 1.</w:t>
                          </w:r>
                          <w:r w:rsidR="00C17D0F">
                            <w:rPr>
                              <w:sz w:val="20"/>
                              <w:szCs w:val="20"/>
                            </w:rPr>
                            <w:t xml:space="preserve"> </w:t>
                          </w:r>
                          <w:r w:rsidR="00587C29" w:rsidRPr="00166A85">
                            <w:rPr>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154FF3" id="Rectangle: Rounded Corners 2" o:spid="_x0000_s1027" style="position:absolute;margin-left:.45pt;margin-top:-9.3pt;width:436.7pt;height:34.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" fillcolor="#dbe5f1 [660]" stroked="f" strokeweight="1pt">
              <v:stroke dashstyle="dash"/>
              <v:textbox>
                <w:txbxContent>
                  <w:p w14:paraId="4A7842F7" w14:textId="63C71526" w:rsidR="00587C29" w:rsidRPr="00166A85" w:rsidRDefault="0000145C" w:rsidP="001E6D78">
                    <w:pPr>
                      <w:ind w:firstLine="0"/>
                      <w:jc w:val="center"/>
                      <w:rPr>
                        <w:sz w:val="20"/>
                        <w:szCs w:val="20"/>
                      </w:rPr>
                    </w:pPr>
                    <w:r w:rsidRPr="0000145C">
                      <w:rPr>
                        <w:sz w:val="20"/>
                        <w:szCs w:val="20"/>
                      </w:rPr>
                      <w:t>1_02_FMInf_Zin_</w:t>
                    </w:r>
                    <w:r w:rsidR="00FD4A89">
                      <w:rPr>
                        <w:sz w:val="20"/>
                        <w:szCs w:val="20"/>
                      </w:rPr>
                      <w:t>1</w:t>
                    </w:r>
                    <w:r w:rsidR="00B627AA">
                      <w:rPr>
                        <w:sz w:val="20"/>
                        <w:szCs w:val="20"/>
                      </w:rPr>
                      <w:t>807</w:t>
                    </w:r>
                    <w:r>
                      <w:rPr>
                        <w:sz w:val="20"/>
                        <w:szCs w:val="20"/>
                      </w:rPr>
                      <w:t>2</w:t>
                    </w:r>
                    <w:r w:rsidR="00FD015F">
                      <w:rPr>
                        <w:sz w:val="20"/>
                        <w:szCs w:val="20"/>
                      </w:rPr>
                      <w:t>5</w:t>
                    </w:r>
                    <w:r w:rsidR="001E6D78">
                      <w:rPr>
                        <w:sz w:val="20"/>
                        <w:szCs w:val="20"/>
                      </w:rPr>
                      <w:t xml:space="preserve">; </w:t>
                    </w:r>
                    <w:r w:rsidRPr="0000145C">
                      <w:rPr>
                        <w:iCs/>
                        <w:sz w:val="20"/>
                        <w:szCs w:val="20"/>
                      </w:rPr>
                      <w:t>Latvijas Republikas konsolidēt</w:t>
                    </w:r>
                    <w:r w:rsidR="005D2161">
                      <w:rPr>
                        <w:iCs/>
                        <w:sz w:val="20"/>
                        <w:szCs w:val="20"/>
                      </w:rPr>
                      <w:t>ais</w:t>
                    </w:r>
                    <w:r w:rsidRPr="0000145C">
                      <w:rPr>
                        <w:iCs/>
                        <w:sz w:val="20"/>
                        <w:szCs w:val="20"/>
                      </w:rPr>
                      <w:t xml:space="preserve"> 202</w:t>
                    </w:r>
                    <w:r w:rsidR="00FD015F">
                      <w:rPr>
                        <w:iCs/>
                        <w:sz w:val="20"/>
                        <w:szCs w:val="20"/>
                      </w:rPr>
                      <w:t>4</w:t>
                    </w:r>
                    <w:r w:rsidRPr="0000145C">
                      <w:rPr>
                        <w:iCs/>
                        <w:sz w:val="20"/>
                        <w:szCs w:val="20"/>
                      </w:rPr>
                      <w:t>. gada pārskatu</w:t>
                    </w:r>
                    <w:r w:rsidR="00587C29" w:rsidRPr="00166A85">
                      <w:rPr>
                        <w:sz w:val="20"/>
                        <w:szCs w:val="20"/>
                      </w:rPr>
                      <w:t>; 1.</w:t>
                    </w:r>
                    <w:r w:rsidR="00C17D0F">
                      <w:rPr>
                        <w:sz w:val="20"/>
                        <w:szCs w:val="20"/>
                      </w:rPr>
                      <w:t xml:space="preserve"> </w:t>
                    </w:r>
                    <w:r w:rsidR="00587C29" w:rsidRPr="00166A85">
                      <w:rPr>
                        <w:sz w:val="20"/>
                        <w:szCs w:val="20"/>
                      </w:rPr>
                      <w:t>sējums</w:t>
                    </w:r>
                  </w:p>
                </w:txbxContent>
              </v:textbox>
            </v:roundrect>
          </w:pict>
        </mc:Fallback>
      </mc:AlternateContent>
    </w:r>
    <w:r w:rsidRPr="00587C29">
      <w:rPr>
        <w:noProof/>
      </w:rPr>
      <mc:AlternateContent>
        <mc:Choice Requires="wps">
          <w:drawing>
            <wp:anchor distT="0" distB="0" distL="114300" distR="114300" simplePos="0" relativeHeight="251658242" behindDoc="1" locked="0" layoutInCell="1" allowOverlap="1" wp14:anchorId="33F6D3C7" wp14:editId="1F274A11">
              <wp:simplePos x="0" y="0"/>
              <wp:positionH relativeFrom="column">
                <wp:posOffset>5649595</wp:posOffset>
              </wp:positionH>
              <wp:positionV relativeFrom="paragraph">
                <wp:posOffset>-57785</wp:posOffset>
              </wp:positionV>
              <wp:extent cx="456565" cy="279400"/>
              <wp:effectExtent l="0" t="0" r="635" b="6350"/>
              <wp:wrapNone/>
              <wp:docPr id="1" name="Rectangle: Rounded Corners 1"/>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oundrect id="Rounded Rectangle 1" style="position:absolute;margin-left:444.85pt;margin-top:-4.5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be5f1 [660]" stroked="f" strokeweight="1pt" arcsize="10923f" w14:anchorId="6247DD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">
              <v:stroke dashstyle="dash"/>
            </v:roundrect>
          </w:pict>
        </mc:Fallback>
      </mc:AlternateContent>
    </w:r>
    <w:r>
      <w:t>55</w:t>
    </w:r>
    <w:r>
      <w:tab/>
    </w:r>
    <w:r w:rsidR="00D10E80" w:rsidRPr="00EF3153">
      <w:rPr>
        <w:color w:val="17365D"/>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DF9B3" w14:textId="77777777" w:rsidR="00D32C01" w:rsidRPr="008A288B" w:rsidRDefault="00D32C01">
      <w:pPr>
        <w:spacing w:after="0"/>
      </w:pPr>
      <w:r w:rsidRPr="008A288B">
        <w:separator/>
      </w:r>
    </w:p>
  </w:footnote>
  <w:footnote w:type="continuationSeparator" w:id="0">
    <w:p w14:paraId="69637F5A" w14:textId="77777777" w:rsidR="00D32C01" w:rsidRDefault="00D32C01">
      <w:pPr>
        <w:spacing w:after="0"/>
      </w:pPr>
      <w:r>
        <w:continuationSeparator/>
      </w:r>
    </w:p>
  </w:footnote>
  <w:footnote w:type="continuationNotice" w:id="1">
    <w:p w14:paraId="51B44A4D" w14:textId="77777777" w:rsidR="00D32C01" w:rsidRDefault="00D32C01">
      <w:pPr>
        <w:spacing w:after="0"/>
      </w:pPr>
    </w:p>
  </w:footnote>
  <w:footnote w:id="2">
    <w:p w14:paraId="415140AC" w14:textId="11CE94FB" w:rsidR="00C5523E" w:rsidRPr="00B4329B" w:rsidRDefault="00C5523E" w:rsidP="00C5523E">
      <w:pPr>
        <w:pStyle w:val="FootnoteText"/>
        <w:rPr>
          <w:noProof/>
          <w:szCs w:val="24"/>
          <w:lang w:eastAsia="lv-LV"/>
        </w:rPr>
      </w:pPr>
      <w:r w:rsidRPr="00BF13B0">
        <w:rPr>
          <w:noProof/>
          <w:szCs w:val="24"/>
          <w:vertAlign w:val="superscript"/>
          <w:lang w:eastAsia="lv-LV"/>
        </w:rPr>
        <w:footnoteRef/>
      </w:r>
      <w:r w:rsidRPr="00BF13B0">
        <w:rPr>
          <w:noProof/>
          <w:szCs w:val="24"/>
          <w:vertAlign w:val="superscript"/>
          <w:lang w:eastAsia="lv-LV"/>
        </w:rPr>
        <w:t xml:space="preserve"> </w:t>
      </w:r>
      <w:r w:rsidRPr="00BF13B0">
        <w:rPr>
          <w:noProof/>
          <w:szCs w:val="24"/>
          <w:lang w:eastAsia="lv-LV"/>
        </w:rPr>
        <w:t xml:space="preserve">saskaņā </w:t>
      </w:r>
      <w:r w:rsidRPr="00B4329B">
        <w:rPr>
          <w:noProof/>
          <w:szCs w:val="24"/>
          <w:lang w:eastAsia="lv-LV"/>
        </w:rPr>
        <w:t xml:space="preserve">ar </w:t>
      </w:r>
      <w:r w:rsidR="007D201A" w:rsidRPr="00B4329B">
        <w:rPr>
          <w:noProof/>
          <w:szCs w:val="24"/>
          <w:lang w:eastAsia="lv-LV"/>
        </w:rPr>
        <w:t xml:space="preserve">Eiropas Savienības nacionālo un reģionālo kontu sistēmas 2010 (turpmāk - EKS2010) </w:t>
      </w:r>
      <w:r w:rsidRPr="00B4329B">
        <w:rPr>
          <w:noProof/>
          <w:szCs w:val="24"/>
          <w:lang w:eastAsia="lv-LV"/>
        </w:rPr>
        <w:t xml:space="preserve"> metodoloģiju</w:t>
      </w:r>
      <w:r w:rsidR="00751106" w:rsidRPr="00B4329B">
        <w:rPr>
          <w:noProof/>
          <w:szCs w:val="24"/>
          <w:lang w:eastAsia="lv-LV"/>
        </w:rPr>
        <w:t>; datu avots:</w:t>
      </w:r>
      <w:r w:rsidR="00751106" w:rsidRPr="00B4329B">
        <w:t xml:space="preserve"> </w:t>
      </w:r>
      <w:hyperlink r:id="rId1" w:history="1">
        <w:r w:rsidR="00751106" w:rsidRPr="00B4329B">
          <w:rPr>
            <w:rStyle w:val="Hyperlink"/>
            <w:noProof/>
            <w:szCs w:val="24"/>
            <w:lang w:eastAsia="lv-LV"/>
          </w:rPr>
          <w:t>Statistics | Eurostat (europa.eu)</w:t>
        </w:r>
      </w:hyperlink>
      <w:r w:rsidR="00751106" w:rsidRPr="00B4329B">
        <w:rPr>
          <w:noProof/>
          <w:szCs w:val="24"/>
          <w:lang w:eastAsia="lv-LV"/>
        </w:rPr>
        <w:t xml:space="preserve">   </w:t>
      </w:r>
    </w:p>
  </w:footnote>
  <w:footnote w:id="3">
    <w:p w14:paraId="618BB62E" w14:textId="384AD309" w:rsidR="00A43B89" w:rsidRPr="00B4329B" w:rsidRDefault="00A43B89">
      <w:pPr>
        <w:pStyle w:val="FootnoteText"/>
        <w:rPr>
          <w:noProof/>
          <w:szCs w:val="24"/>
          <w:lang w:eastAsia="lv-LV"/>
        </w:rPr>
      </w:pPr>
      <w:r w:rsidRPr="00B4329B">
        <w:rPr>
          <w:noProof/>
          <w:szCs w:val="24"/>
          <w:vertAlign w:val="superscript"/>
          <w:lang w:eastAsia="lv-LV"/>
        </w:rPr>
        <w:footnoteRef/>
      </w:r>
      <w:r w:rsidRPr="00B4329B">
        <w:rPr>
          <w:noProof/>
          <w:szCs w:val="24"/>
          <w:vertAlign w:val="superscript"/>
          <w:lang w:eastAsia="lv-LV"/>
        </w:rPr>
        <w:t xml:space="preserve"> </w:t>
      </w:r>
      <w:r w:rsidRPr="00B4329B">
        <w:rPr>
          <w:noProof/>
          <w:szCs w:val="24"/>
          <w:lang w:eastAsia="lv-LV"/>
        </w:rPr>
        <w:t xml:space="preserve">saskaņā ar Centrālās statistikas pārvaldes datiem </w:t>
      </w:r>
      <w:r w:rsidR="004F5374" w:rsidRPr="00B4329B">
        <w:rPr>
          <w:noProof/>
          <w:szCs w:val="24"/>
          <w:lang w:eastAsia="lv-LV"/>
        </w:rPr>
        <w:t xml:space="preserve">– </w:t>
      </w:r>
      <w:r w:rsidRPr="00B4329B">
        <w:rPr>
          <w:noProof/>
          <w:szCs w:val="24"/>
          <w:lang w:eastAsia="lv-LV"/>
        </w:rPr>
        <w:t>40,</w:t>
      </w:r>
      <w:r w:rsidR="00C777DB">
        <w:rPr>
          <w:noProof/>
          <w:szCs w:val="24"/>
          <w:lang w:eastAsia="lv-LV"/>
        </w:rPr>
        <w:t>2</w:t>
      </w:r>
      <w:r w:rsidRPr="00B4329B">
        <w:rPr>
          <w:noProof/>
          <w:szCs w:val="24"/>
          <w:lang w:eastAsia="lv-LV"/>
        </w:rPr>
        <w:t xml:space="preserve"> mljrd. </w:t>
      </w:r>
      <w:r w:rsidRPr="00B4329B">
        <w:rPr>
          <w:i/>
          <w:iCs/>
          <w:noProof/>
          <w:szCs w:val="24"/>
          <w:lang w:eastAsia="lv-LV"/>
        </w:rPr>
        <w:t>euro</w:t>
      </w:r>
      <w:r w:rsidRPr="00B4329B">
        <w:rPr>
          <w:noProof/>
          <w:szCs w:val="24"/>
          <w:lang w:eastAsia="lv-LV"/>
        </w:rPr>
        <w:t xml:space="preserve"> faktiskajās cenās</w:t>
      </w:r>
    </w:p>
  </w:footnote>
  <w:footnote w:id="4">
    <w:p w14:paraId="1B8F283A" w14:textId="6B134487" w:rsidR="004F5374" w:rsidRPr="00B4329B" w:rsidRDefault="004F5374">
      <w:pPr>
        <w:pStyle w:val="FootnoteText"/>
      </w:pPr>
      <w:r w:rsidRPr="00B4329B">
        <w:rPr>
          <w:rStyle w:val="FootnoteReference"/>
        </w:rPr>
        <w:footnoteRef/>
      </w:r>
      <w:r w:rsidRPr="00B4329B">
        <w:t xml:space="preserve"> </w:t>
      </w:r>
      <w:r w:rsidRPr="00B4329B">
        <w:rPr>
          <w:noProof/>
          <w:szCs w:val="24"/>
          <w:lang w:eastAsia="lv-LV"/>
        </w:rPr>
        <w:t>likumā “Par valsts budžetu 202</w:t>
      </w:r>
      <w:r w:rsidR="00D14900">
        <w:rPr>
          <w:noProof/>
          <w:szCs w:val="24"/>
          <w:lang w:eastAsia="lv-LV"/>
        </w:rPr>
        <w:t>4</w:t>
      </w:r>
      <w:r w:rsidRPr="00B4329B">
        <w:rPr>
          <w:noProof/>
          <w:szCs w:val="24"/>
          <w:lang w:eastAsia="lv-LV"/>
        </w:rPr>
        <w:t>. gadam un budžeta ietvaru 202</w:t>
      </w:r>
      <w:r w:rsidR="00D14900">
        <w:rPr>
          <w:noProof/>
          <w:szCs w:val="24"/>
          <w:lang w:eastAsia="lv-LV"/>
        </w:rPr>
        <w:t>4</w:t>
      </w:r>
      <w:r w:rsidRPr="00B4329B">
        <w:rPr>
          <w:noProof/>
          <w:szCs w:val="24"/>
          <w:lang w:eastAsia="lv-LV"/>
        </w:rPr>
        <w:t>., 202</w:t>
      </w:r>
      <w:r w:rsidR="00D14900">
        <w:rPr>
          <w:noProof/>
          <w:szCs w:val="24"/>
          <w:lang w:eastAsia="lv-LV"/>
        </w:rPr>
        <w:t>5</w:t>
      </w:r>
      <w:r w:rsidRPr="00B4329B">
        <w:rPr>
          <w:noProof/>
          <w:szCs w:val="24"/>
          <w:lang w:eastAsia="lv-LV"/>
        </w:rPr>
        <w:t>. un 202</w:t>
      </w:r>
      <w:r w:rsidR="00D14900">
        <w:rPr>
          <w:noProof/>
          <w:szCs w:val="24"/>
          <w:lang w:eastAsia="lv-LV"/>
        </w:rPr>
        <w:t>6</w:t>
      </w:r>
      <w:r w:rsidRPr="00B4329B">
        <w:rPr>
          <w:noProof/>
          <w:szCs w:val="24"/>
          <w:lang w:eastAsia="lv-LV"/>
        </w:rPr>
        <w:t xml:space="preserve">. gadam” plānotais rādītājs </w:t>
      </w:r>
      <w:r w:rsidR="00D14900">
        <w:rPr>
          <w:noProof/>
          <w:szCs w:val="24"/>
          <w:lang w:eastAsia="lv-LV"/>
        </w:rPr>
        <w:t>45,5</w:t>
      </w:r>
      <w:r w:rsidR="00B507AF" w:rsidRPr="00B4329B">
        <w:t xml:space="preserve"> </w:t>
      </w:r>
      <w:r w:rsidRPr="00B4329B">
        <w:rPr>
          <w:noProof/>
          <w:szCs w:val="24"/>
          <w:lang w:eastAsia="lv-LV"/>
        </w:rPr>
        <w:t xml:space="preserve">mljrd. </w:t>
      </w:r>
      <w:r w:rsidRPr="00B4329B">
        <w:rPr>
          <w:i/>
          <w:iCs/>
          <w:noProof/>
          <w:szCs w:val="24"/>
          <w:lang w:eastAsia="lv-LV"/>
        </w:rPr>
        <w:t>euro</w:t>
      </w:r>
      <w:r w:rsidRPr="00B4329B">
        <w:rPr>
          <w:noProof/>
          <w:szCs w:val="24"/>
          <w:lang w:eastAsia="lv-LV"/>
        </w:rPr>
        <w:t xml:space="preserve"> faktiskajās cenās</w:t>
      </w:r>
    </w:p>
  </w:footnote>
  <w:footnote w:id="5">
    <w:p w14:paraId="38D882BB" w14:textId="4CC7CB90" w:rsidR="00812EA7" w:rsidRPr="00B4329B" w:rsidRDefault="00812EA7" w:rsidP="00812EA7">
      <w:pPr>
        <w:pStyle w:val="FootnoteText"/>
        <w:rPr>
          <w:noProof/>
          <w:szCs w:val="24"/>
          <w:lang w:eastAsia="lv-LV"/>
        </w:rPr>
      </w:pPr>
      <w:r w:rsidRPr="00B4329B">
        <w:rPr>
          <w:noProof/>
          <w:szCs w:val="24"/>
          <w:vertAlign w:val="superscript"/>
          <w:lang w:eastAsia="lv-LV"/>
        </w:rPr>
        <w:footnoteRef/>
      </w:r>
      <w:r w:rsidRPr="00B4329B">
        <w:rPr>
          <w:noProof/>
          <w:szCs w:val="24"/>
          <w:vertAlign w:val="superscript"/>
          <w:lang w:eastAsia="lv-LV"/>
        </w:rPr>
        <w:t xml:space="preserve"> </w:t>
      </w:r>
      <w:r w:rsidR="00342EAC" w:rsidRPr="00B4329B">
        <w:rPr>
          <w:noProof/>
          <w:szCs w:val="24"/>
          <w:lang w:eastAsia="lv-LV"/>
        </w:rPr>
        <w:t>saskaņā ar EKS’2010 metodoloģiju</w:t>
      </w:r>
    </w:p>
  </w:footnote>
  <w:footnote w:id="6">
    <w:p w14:paraId="56F34DAE" w14:textId="77777777" w:rsidR="004670AA" w:rsidRPr="00B4329B" w:rsidRDefault="004670AA" w:rsidP="004670AA">
      <w:pPr>
        <w:pStyle w:val="FootnoteText"/>
        <w:rPr>
          <w:noProof/>
          <w:szCs w:val="24"/>
          <w:lang w:eastAsia="lv-LV"/>
        </w:rPr>
      </w:pPr>
      <w:r w:rsidRPr="00B4329B">
        <w:rPr>
          <w:noProof/>
          <w:szCs w:val="24"/>
          <w:vertAlign w:val="superscript"/>
          <w:lang w:eastAsia="lv-LV"/>
        </w:rPr>
        <w:footnoteRef/>
      </w:r>
      <w:r w:rsidRPr="00B4329B">
        <w:rPr>
          <w:noProof/>
          <w:szCs w:val="24"/>
          <w:lang w:eastAsia="lv-LV"/>
        </w:rPr>
        <w:t xml:space="preserve"> saskaņā ar nacionālo metodoloģiju, bez atvasinātajiem finanšu instrumentiem</w:t>
      </w:r>
    </w:p>
  </w:footnote>
  <w:footnote w:id="7">
    <w:p w14:paraId="009743CE" w14:textId="77777777" w:rsidR="008735BE" w:rsidRDefault="008735BE" w:rsidP="008735BE">
      <w:pPr>
        <w:pStyle w:val="FootnoteText"/>
      </w:pPr>
      <w:r w:rsidRPr="00BF13B0">
        <w:rPr>
          <w:noProof/>
          <w:szCs w:val="24"/>
          <w:vertAlign w:val="superscript"/>
          <w:lang w:eastAsia="lv-LV"/>
        </w:rPr>
        <w:footnoteRef/>
      </w:r>
      <w:r w:rsidRPr="00BF13B0">
        <w:rPr>
          <w:noProof/>
          <w:szCs w:val="24"/>
          <w:lang w:eastAsia="lv-LV"/>
        </w:rPr>
        <w:t xml:space="preserve"> saskaņā ar naudas plūsmas metodi</w:t>
      </w:r>
    </w:p>
  </w:footnote>
  <w:footnote w:id="8">
    <w:p w14:paraId="09B0F3E2" w14:textId="68BD920E" w:rsidR="00021CCC" w:rsidRDefault="00021CCC" w:rsidP="0059602E">
      <w:pPr>
        <w:pStyle w:val="FootnoteText"/>
        <w:jc w:val="both"/>
      </w:pPr>
      <w:r>
        <w:rPr>
          <w:rStyle w:val="FootnoteReference"/>
        </w:rPr>
        <w:footnoteRef/>
      </w:r>
      <w:r>
        <w:t xml:space="preserve"> </w:t>
      </w:r>
      <w:r w:rsidRPr="00021CCC">
        <w:t xml:space="preserve">Fiskālā trajektorija (jeb “neto izdevumu virzība” saskaņā ar Eiropas Parlamenta un Padomes 2024. gada 29. aprīļa Regulas (ES) 2024/1263 par ekonomikas politikas efektīvu koordināciju un budžeta daudzpusēju uzraudzību un ar ko atceļ Padomes Regulu (EK) Nr. 1466/97 terminoloģiju) ir noteikts pieļaujamais pieauguma līmenis izdevumiem, kur tiek izslēgtas vairākas pozīcijas – procentu izdevumi, </w:t>
      </w:r>
      <w:proofErr w:type="spellStart"/>
      <w:r w:rsidRPr="00021CCC">
        <w:t>diskrecionārie</w:t>
      </w:r>
      <w:proofErr w:type="spellEnd"/>
      <w:r w:rsidRPr="00021CCC">
        <w:t xml:space="preserve"> ieņēmumu pasākumi (valdības apstiprinātās izmaiņas nodokļos, </w:t>
      </w:r>
      <w:proofErr w:type="spellStart"/>
      <w:r w:rsidRPr="00021CCC">
        <w:t>nenodokļos</w:t>
      </w:r>
      <w:proofErr w:type="spellEnd"/>
      <w:r w:rsidRPr="00021CCC">
        <w:t>, maksas pakalpojumos un citos pašu ieņēmumos), izdevumi par ES fondu programmām un valsts līdzfinansējums ES fondu programmām, kā arī bezdarbnieku pabalstu izdevumu cikliskie elementi</w:t>
      </w:r>
      <w:r>
        <w:t xml:space="preserve">; avots: </w:t>
      </w:r>
      <w:hyperlink r:id="rId2" w:history="1">
        <w:r w:rsidRPr="00222E91">
          <w:rPr>
            <w:rStyle w:val="Hyperlink"/>
          </w:rPr>
          <w:t>https://www.fm.gov.lv/lv/fiskali-strukturalais-plans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C27E" w14:textId="33CBACAF" w:rsidR="00675C24" w:rsidRPr="00587C29" w:rsidRDefault="00675C24" w:rsidP="00F34719">
    <w:pPr>
      <w:pStyle w:val="Header"/>
      <w:jc w:val="center"/>
      <w:rPr>
        <w:color w:val="17365D"/>
      </w:rPr>
    </w:pPr>
    <w:r w:rsidRPr="00587C29">
      <w:rPr>
        <w:color w:val="17365D"/>
      </w:rPr>
      <w:t xml:space="preserve">ZIŅOJUMS PAR LATVIJAS REPUBLIKAS </w:t>
    </w:r>
    <w:r w:rsidR="00DC68E3">
      <w:rPr>
        <w:color w:val="17365D"/>
      </w:rPr>
      <w:t>KONSOLIDĒTO 20</w:t>
    </w:r>
    <w:r w:rsidR="00B5726A">
      <w:rPr>
        <w:color w:val="17365D"/>
      </w:rPr>
      <w:t>2</w:t>
    </w:r>
    <w:r w:rsidR="00F94E97">
      <w:rPr>
        <w:color w:val="17365D"/>
      </w:rPr>
      <w:t>4</w:t>
    </w:r>
    <w:r w:rsidRPr="00587C29">
      <w:rPr>
        <w:color w:val="17365D"/>
      </w:rPr>
      <w:t>. GADA PĀRSKATU</w:t>
    </w:r>
  </w:p>
  <w:p w14:paraId="6FCD1B89" w14:textId="77777777" w:rsidR="00675C24" w:rsidRDefault="00675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281B187A" w14:paraId="0D4D8E7C" w14:textId="77777777" w:rsidTr="281B187A">
      <w:trPr>
        <w:trHeight w:val="300"/>
      </w:trPr>
      <w:tc>
        <w:tcPr>
          <w:tcW w:w="3115" w:type="dxa"/>
        </w:tcPr>
        <w:p w14:paraId="6C2C1A7A" w14:textId="34B7B2AC" w:rsidR="281B187A" w:rsidRDefault="281B187A" w:rsidP="281B187A">
          <w:pPr>
            <w:pStyle w:val="Header"/>
            <w:ind w:left="-115"/>
          </w:pPr>
        </w:p>
      </w:tc>
      <w:tc>
        <w:tcPr>
          <w:tcW w:w="3115" w:type="dxa"/>
        </w:tcPr>
        <w:p w14:paraId="59A2B2B9" w14:textId="28FA1C81" w:rsidR="281B187A" w:rsidRDefault="281B187A" w:rsidP="281B187A">
          <w:pPr>
            <w:pStyle w:val="Header"/>
            <w:jc w:val="center"/>
          </w:pPr>
        </w:p>
      </w:tc>
      <w:tc>
        <w:tcPr>
          <w:tcW w:w="3115" w:type="dxa"/>
        </w:tcPr>
        <w:p w14:paraId="590FB50E" w14:textId="0C713748" w:rsidR="281B187A" w:rsidRDefault="281B187A" w:rsidP="281B187A">
          <w:pPr>
            <w:pStyle w:val="Header"/>
            <w:ind w:right="-115"/>
            <w:jc w:val="right"/>
          </w:pPr>
        </w:p>
      </w:tc>
    </w:tr>
  </w:tbl>
  <w:p w14:paraId="387CA3C0" w14:textId="6551D36D" w:rsidR="281B187A" w:rsidRDefault="281B187A" w:rsidP="281B18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37DB"/>
    <w:multiLevelType w:val="multilevel"/>
    <w:tmpl w:val="64684FCC"/>
    <w:numStyleLink w:val="Numercija"/>
  </w:abstractNum>
  <w:abstractNum w:abstractNumId="10"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2"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3"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1CE6117"/>
    <w:multiLevelType w:val="multilevel"/>
    <w:tmpl w:val="0426001F"/>
    <w:numStyleLink w:val="Secganumercija"/>
  </w:abstractNum>
  <w:abstractNum w:abstractNumId="27"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733283120">
    <w:abstractNumId w:val="2"/>
  </w:num>
  <w:num w:numId="2" w16cid:durableId="228343789">
    <w:abstractNumId w:val="15"/>
  </w:num>
  <w:num w:numId="3" w16cid:durableId="1507941177">
    <w:abstractNumId w:val="27"/>
  </w:num>
  <w:num w:numId="4" w16cid:durableId="412943255">
    <w:abstractNumId w:val="25"/>
  </w:num>
  <w:num w:numId="5" w16cid:durableId="1103379680">
    <w:abstractNumId w:val="28"/>
  </w:num>
  <w:num w:numId="6" w16cid:durableId="1226918549">
    <w:abstractNumId w:val="13"/>
  </w:num>
  <w:num w:numId="7" w16cid:durableId="180432832">
    <w:abstractNumId w:val="31"/>
  </w:num>
  <w:num w:numId="8" w16cid:durableId="2052995949">
    <w:abstractNumId w:val="0"/>
  </w:num>
  <w:num w:numId="9" w16cid:durableId="731079024">
    <w:abstractNumId w:val="23"/>
  </w:num>
  <w:num w:numId="10" w16cid:durableId="1329022220">
    <w:abstractNumId w:val="8"/>
  </w:num>
  <w:num w:numId="11" w16cid:durableId="1646735708">
    <w:abstractNumId w:val="17"/>
  </w:num>
  <w:num w:numId="12" w16cid:durableId="350257116">
    <w:abstractNumId w:val="10"/>
  </w:num>
  <w:num w:numId="13" w16cid:durableId="1465585018">
    <w:abstractNumId w:val="1"/>
  </w:num>
  <w:num w:numId="14" w16cid:durableId="1738818186">
    <w:abstractNumId w:val="4"/>
  </w:num>
  <w:num w:numId="15" w16cid:durableId="2043051996">
    <w:abstractNumId w:val="3"/>
  </w:num>
  <w:num w:numId="16" w16cid:durableId="1815902654">
    <w:abstractNumId w:val="19"/>
  </w:num>
  <w:num w:numId="17" w16cid:durableId="58671011">
    <w:abstractNumId w:val="12"/>
  </w:num>
  <w:num w:numId="18" w16cid:durableId="1709331940">
    <w:abstractNumId w:val="18"/>
  </w:num>
  <w:num w:numId="19" w16cid:durableId="543366987">
    <w:abstractNumId w:val="24"/>
  </w:num>
  <w:num w:numId="20" w16cid:durableId="1160584244">
    <w:abstractNumId w:val="29"/>
  </w:num>
  <w:num w:numId="21" w16cid:durableId="651299832">
    <w:abstractNumId w:val="30"/>
  </w:num>
  <w:num w:numId="22" w16cid:durableId="1448507399">
    <w:abstractNumId w:val="16"/>
  </w:num>
  <w:num w:numId="23" w16cid:durableId="445001814">
    <w:abstractNumId w:val="6"/>
  </w:num>
  <w:num w:numId="24" w16cid:durableId="651712176">
    <w:abstractNumId w:val="9"/>
  </w:num>
  <w:num w:numId="25" w16cid:durableId="1979259329">
    <w:abstractNumId w:val="21"/>
  </w:num>
  <w:num w:numId="26" w16cid:durableId="868450250">
    <w:abstractNumId w:val="11"/>
  </w:num>
  <w:num w:numId="27" w16cid:durableId="1627421620">
    <w:abstractNumId w:val="22"/>
  </w:num>
  <w:num w:numId="28" w16cid:durableId="1292596195">
    <w:abstractNumId w:val="14"/>
  </w:num>
  <w:num w:numId="29" w16cid:durableId="1772168826">
    <w:abstractNumId w:val="5"/>
  </w:num>
  <w:num w:numId="30" w16cid:durableId="1458376983">
    <w:abstractNumId w:val="20"/>
  </w:num>
  <w:num w:numId="31" w16cid:durableId="1276599219">
    <w:abstractNumId w:val="7"/>
  </w:num>
  <w:num w:numId="32" w16cid:durableId="1719933566">
    <w:abstractNumId w:val="26"/>
  </w:num>
  <w:num w:numId="33" w16cid:durableId="608511074">
    <w:abstractNumId w:val="26"/>
  </w:num>
  <w:num w:numId="34" w16cid:durableId="14148893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946"/>
    <w:rsid w:val="0000145C"/>
    <w:rsid w:val="00001D3E"/>
    <w:rsid w:val="00001EDF"/>
    <w:rsid w:val="00003EE9"/>
    <w:rsid w:val="0000430D"/>
    <w:rsid w:val="00004622"/>
    <w:rsid w:val="00004936"/>
    <w:rsid w:val="00004939"/>
    <w:rsid w:val="000070E6"/>
    <w:rsid w:val="00007D2B"/>
    <w:rsid w:val="00010C7D"/>
    <w:rsid w:val="00013DFC"/>
    <w:rsid w:val="0001416D"/>
    <w:rsid w:val="00020805"/>
    <w:rsid w:val="000213CB"/>
    <w:rsid w:val="00021CCC"/>
    <w:rsid w:val="00023C4D"/>
    <w:rsid w:val="00025C60"/>
    <w:rsid w:val="00025F9D"/>
    <w:rsid w:val="000277FF"/>
    <w:rsid w:val="00030FE9"/>
    <w:rsid w:val="00032FED"/>
    <w:rsid w:val="0003426F"/>
    <w:rsid w:val="00034C2C"/>
    <w:rsid w:val="00034E65"/>
    <w:rsid w:val="000350DA"/>
    <w:rsid w:val="0003556E"/>
    <w:rsid w:val="000373E8"/>
    <w:rsid w:val="00037EF0"/>
    <w:rsid w:val="0004020D"/>
    <w:rsid w:val="00040684"/>
    <w:rsid w:val="00040DB3"/>
    <w:rsid w:val="00042ADA"/>
    <w:rsid w:val="00042E0C"/>
    <w:rsid w:val="00046E50"/>
    <w:rsid w:val="00050639"/>
    <w:rsid w:val="000508A1"/>
    <w:rsid w:val="00051A5E"/>
    <w:rsid w:val="000545B0"/>
    <w:rsid w:val="00054D92"/>
    <w:rsid w:val="00055774"/>
    <w:rsid w:val="00055D8D"/>
    <w:rsid w:val="0006025E"/>
    <w:rsid w:val="00060FBB"/>
    <w:rsid w:val="00061C2B"/>
    <w:rsid w:val="00062613"/>
    <w:rsid w:val="000631C7"/>
    <w:rsid w:val="0006423D"/>
    <w:rsid w:val="00066002"/>
    <w:rsid w:val="00066C7D"/>
    <w:rsid w:val="00070946"/>
    <w:rsid w:val="000718AA"/>
    <w:rsid w:val="0007229F"/>
    <w:rsid w:val="00072469"/>
    <w:rsid w:val="00072EC0"/>
    <w:rsid w:val="00073E67"/>
    <w:rsid w:val="00073EC6"/>
    <w:rsid w:val="00074143"/>
    <w:rsid w:val="000743F5"/>
    <w:rsid w:val="0007442E"/>
    <w:rsid w:val="0007560C"/>
    <w:rsid w:val="00076306"/>
    <w:rsid w:val="00076754"/>
    <w:rsid w:val="00077222"/>
    <w:rsid w:val="00077DE0"/>
    <w:rsid w:val="00080F14"/>
    <w:rsid w:val="00080F71"/>
    <w:rsid w:val="00081CDE"/>
    <w:rsid w:val="000829B7"/>
    <w:rsid w:val="0008329D"/>
    <w:rsid w:val="000833C7"/>
    <w:rsid w:val="000847AF"/>
    <w:rsid w:val="0008486C"/>
    <w:rsid w:val="00084A98"/>
    <w:rsid w:val="00084AAD"/>
    <w:rsid w:val="00084AF3"/>
    <w:rsid w:val="00084C09"/>
    <w:rsid w:val="0008503E"/>
    <w:rsid w:val="000853B4"/>
    <w:rsid w:val="00087722"/>
    <w:rsid w:val="000906DA"/>
    <w:rsid w:val="0009154B"/>
    <w:rsid w:val="00092663"/>
    <w:rsid w:val="000926A3"/>
    <w:rsid w:val="000929EE"/>
    <w:rsid w:val="00092C8A"/>
    <w:rsid w:val="00092DA3"/>
    <w:rsid w:val="00092E0E"/>
    <w:rsid w:val="00093A0C"/>
    <w:rsid w:val="000960E6"/>
    <w:rsid w:val="00096449"/>
    <w:rsid w:val="000964AA"/>
    <w:rsid w:val="0009785D"/>
    <w:rsid w:val="000A0353"/>
    <w:rsid w:val="000A07AF"/>
    <w:rsid w:val="000A0F54"/>
    <w:rsid w:val="000A13DB"/>
    <w:rsid w:val="000A15A4"/>
    <w:rsid w:val="000A1780"/>
    <w:rsid w:val="000A193A"/>
    <w:rsid w:val="000A2362"/>
    <w:rsid w:val="000A28DB"/>
    <w:rsid w:val="000A3270"/>
    <w:rsid w:val="000A435A"/>
    <w:rsid w:val="000A4ECE"/>
    <w:rsid w:val="000B2B0E"/>
    <w:rsid w:val="000B2E05"/>
    <w:rsid w:val="000B4B98"/>
    <w:rsid w:val="000B5D62"/>
    <w:rsid w:val="000B618C"/>
    <w:rsid w:val="000B6468"/>
    <w:rsid w:val="000B659E"/>
    <w:rsid w:val="000B7267"/>
    <w:rsid w:val="000C0EC1"/>
    <w:rsid w:val="000C1FB4"/>
    <w:rsid w:val="000C264D"/>
    <w:rsid w:val="000C34F2"/>
    <w:rsid w:val="000C5AE9"/>
    <w:rsid w:val="000D013D"/>
    <w:rsid w:val="000D2F54"/>
    <w:rsid w:val="000D38A2"/>
    <w:rsid w:val="000D4632"/>
    <w:rsid w:val="000D7A24"/>
    <w:rsid w:val="000D7C5D"/>
    <w:rsid w:val="000E0D50"/>
    <w:rsid w:val="000E14A2"/>
    <w:rsid w:val="000E1954"/>
    <w:rsid w:val="000E20D0"/>
    <w:rsid w:val="000E6AD3"/>
    <w:rsid w:val="000E7483"/>
    <w:rsid w:val="000F2050"/>
    <w:rsid w:val="000F3A35"/>
    <w:rsid w:val="000F4697"/>
    <w:rsid w:val="000F4B16"/>
    <w:rsid w:val="000F538A"/>
    <w:rsid w:val="000F579C"/>
    <w:rsid w:val="00100D45"/>
    <w:rsid w:val="00102DE7"/>
    <w:rsid w:val="001104CA"/>
    <w:rsid w:val="00110838"/>
    <w:rsid w:val="00111606"/>
    <w:rsid w:val="00114206"/>
    <w:rsid w:val="001151C1"/>
    <w:rsid w:val="00115D1A"/>
    <w:rsid w:val="00116108"/>
    <w:rsid w:val="00117513"/>
    <w:rsid w:val="00121233"/>
    <w:rsid w:val="00123E43"/>
    <w:rsid w:val="00130130"/>
    <w:rsid w:val="00131056"/>
    <w:rsid w:val="001310B5"/>
    <w:rsid w:val="00131B28"/>
    <w:rsid w:val="001353DF"/>
    <w:rsid w:val="001359F5"/>
    <w:rsid w:val="00136ABF"/>
    <w:rsid w:val="00136DD1"/>
    <w:rsid w:val="001372BB"/>
    <w:rsid w:val="00137F36"/>
    <w:rsid w:val="00142CC2"/>
    <w:rsid w:val="0014341F"/>
    <w:rsid w:val="00143CC1"/>
    <w:rsid w:val="001470AB"/>
    <w:rsid w:val="00147979"/>
    <w:rsid w:val="00150DF7"/>
    <w:rsid w:val="001539DF"/>
    <w:rsid w:val="00155317"/>
    <w:rsid w:val="0015538C"/>
    <w:rsid w:val="00155539"/>
    <w:rsid w:val="00155586"/>
    <w:rsid w:val="001559B2"/>
    <w:rsid w:val="00156427"/>
    <w:rsid w:val="00156F03"/>
    <w:rsid w:val="001573DC"/>
    <w:rsid w:val="00157B1C"/>
    <w:rsid w:val="00161333"/>
    <w:rsid w:val="00161F13"/>
    <w:rsid w:val="0016214A"/>
    <w:rsid w:val="00162150"/>
    <w:rsid w:val="001626CA"/>
    <w:rsid w:val="00165BF6"/>
    <w:rsid w:val="00166A85"/>
    <w:rsid w:val="00167319"/>
    <w:rsid w:val="00167B4C"/>
    <w:rsid w:val="001714A2"/>
    <w:rsid w:val="00171920"/>
    <w:rsid w:val="00172692"/>
    <w:rsid w:val="00173561"/>
    <w:rsid w:val="00173E3C"/>
    <w:rsid w:val="0017470F"/>
    <w:rsid w:val="00174D0E"/>
    <w:rsid w:val="00174F4F"/>
    <w:rsid w:val="001809A4"/>
    <w:rsid w:val="00180F03"/>
    <w:rsid w:val="00180F80"/>
    <w:rsid w:val="0018146B"/>
    <w:rsid w:val="00181F3D"/>
    <w:rsid w:val="001825E7"/>
    <w:rsid w:val="00183BF3"/>
    <w:rsid w:val="00183C2D"/>
    <w:rsid w:val="00186328"/>
    <w:rsid w:val="00187766"/>
    <w:rsid w:val="001909B3"/>
    <w:rsid w:val="00190E5F"/>
    <w:rsid w:val="00191787"/>
    <w:rsid w:val="001922BC"/>
    <w:rsid w:val="00192CF7"/>
    <w:rsid w:val="00192D04"/>
    <w:rsid w:val="0019357F"/>
    <w:rsid w:val="00193EA1"/>
    <w:rsid w:val="00194355"/>
    <w:rsid w:val="00194490"/>
    <w:rsid w:val="00196850"/>
    <w:rsid w:val="001A14AC"/>
    <w:rsid w:val="001A321A"/>
    <w:rsid w:val="001A58EC"/>
    <w:rsid w:val="001A5D2F"/>
    <w:rsid w:val="001A793A"/>
    <w:rsid w:val="001B0466"/>
    <w:rsid w:val="001B2A8D"/>
    <w:rsid w:val="001B3930"/>
    <w:rsid w:val="001B4ADE"/>
    <w:rsid w:val="001B5E28"/>
    <w:rsid w:val="001B6AAA"/>
    <w:rsid w:val="001B78C8"/>
    <w:rsid w:val="001B7DC3"/>
    <w:rsid w:val="001C018A"/>
    <w:rsid w:val="001C04E7"/>
    <w:rsid w:val="001C1914"/>
    <w:rsid w:val="001C6286"/>
    <w:rsid w:val="001D1ADF"/>
    <w:rsid w:val="001D1DD4"/>
    <w:rsid w:val="001D2C90"/>
    <w:rsid w:val="001D422C"/>
    <w:rsid w:val="001D5828"/>
    <w:rsid w:val="001D756C"/>
    <w:rsid w:val="001D7A0B"/>
    <w:rsid w:val="001E19A9"/>
    <w:rsid w:val="001E32B4"/>
    <w:rsid w:val="001E3300"/>
    <w:rsid w:val="001E3565"/>
    <w:rsid w:val="001E3830"/>
    <w:rsid w:val="001E55C0"/>
    <w:rsid w:val="001E6549"/>
    <w:rsid w:val="001E67F1"/>
    <w:rsid w:val="001E6D78"/>
    <w:rsid w:val="001F04F8"/>
    <w:rsid w:val="001F126E"/>
    <w:rsid w:val="001F15AD"/>
    <w:rsid w:val="001F22B6"/>
    <w:rsid w:val="001F3517"/>
    <w:rsid w:val="001F359B"/>
    <w:rsid w:val="001F3921"/>
    <w:rsid w:val="001F3D34"/>
    <w:rsid w:val="001F4E38"/>
    <w:rsid w:val="001F605B"/>
    <w:rsid w:val="002013A3"/>
    <w:rsid w:val="002025E7"/>
    <w:rsid w:val="00202911"/>
    <w:rsid w:val="002042E5"/>
    <w:rsid w:val="00205601"/>
    <w:rsid w:val="0020572F"/>
    <w:rsid w:val="00207BED"/>
    <w:rsid w:val="0021021E"/>
    <w:rsid w:val="00210334"/>
    <w:rsid w:val="00213F93"/>
    <w:rsid w:val="002151E6"/>
    <w:rsid w:val="00215CB9"/>
    <w:rsid w:val="00215E33"/>
    <w:rsid w:val="002163C2"/>
    <w:rsid w:val="00217111"/>
    <w:rsid w:val="00217452"/>
    <w:rsid w:val="00226152"/>
    <w:rsid w:val="00227116"/>
    <w:rsid w:val="00227BFE"/>
    <w:rsid w:val="0023034D"/>
    <w:rsid w:val="002337DE"/>
    <w:rsid w:val="00235A34"/>
    <w:rsid w:val="00235D17"/>
    <w:rsid w:val="00236A70"/>
    <w:rsid w:val="00236B6F"/>
    <w:rsid w:val="00243B40"/>
    <w:rsid w:val="00243D43"/>
    <w:rsid w:val="002449B8"/>
    <w:rsid w:val="00244BC8"/>
    <w:rsid w:val="0024530E"/>
    <w:rsid w:val="00245C2C"/>
    <w:rsid w:val="0024687D"/>
    <w:rsid w:val="00250096"/>
    <w:rsid w:val="00250A5F"/>
    <w:rsid w:val="002516BE"/>
    <w:rsid w:val="00255CAF"/>
    <w:rsid w:val="00255CEB"/>
    <w:rsid w:val="0025648D"/>
    <w:rsid w:val="00257E4C"/>
    <w:rsid w:val="0026097F"/>
    <w:rsid w:val="0026143D"/>
    <w:rsid w:val="00264BC7"/>
    <w:rsid w:val="00267029"/>
    <w:rsid w:val="002718A7"/>
    <w:rsid w:val="00271F0D"/>
    <w:rsid w:val="00274FB4"/>
    <w:rsid w:val="002762BE"/>
    <w:rsid w:val="0027729A"/>
    <w:rsid w:val="0028083A"/>
    <w:rsid w:val="00280893"/>
    <w:rsid w:val="00280E3D"/>
    <w:rsid w:val="002823FF"/>
    <w:rsid w:val="0028314D"/>
    <w:rsid w:val="00283D69"/>
    <w:rsid w:val="002840D4"/>
    <w:rsid w:val="002849B4"/>
    <w:rsid w:val="00285C79"/>
    <w:rsid w:val="0028687B"/>
    <w:rsid w:val="00286DCA"/>
    <w:rsid w:val="00293968"/>
    <w:rsid w:val="0029461E"/>
    <w:rsid w:val="00294853"/>
    <w:rsid w:val="00295926"/>
    <w:rsid w:val="00295E4C"/>
    <w:rsid w:val="00296D3D"/>
    <w:rsid w:val="002979B9"/>
    <w:rsid w:val="002A0C4D"/>
    <w:rsid w:val="002A122B"/>
    <w:rsid w:val="002A1528"/>
    <w:rsid w:val="002A1E48"/>
    <w:rsid w:val="002A265C"/>
    <w:rsid w:val="002A28CD"/>
    <w:rsid w:val="002A4404"/>
    <w:rsid w:val="002A4646"/>
    <w:rsid w:val="002A4796"/>
    <w:rsid w:val="002A4E20"/>
    <w:rsid w:val="002A5441"/>
    <w:rsid w:val="002A5E6B"/>
    <w:rsid w:val="002A7A5E"/>
    <w:rsid w:val="002B059F"/>
    <w:rsid w:val="002B1F1B"/>
    <w:rsid w:val="002B21BE"/>
    <w:rsid w:val="002B2580"/>
    <w:rsid w:val="002B350A"/>
    <w:rsid w:val="002B3EB0"/>
    <w:rsid w:val="002B415F"/>
    <w:rsid w:val="002B429A"/>
    <w:rsid w:val="002B5B53"/>
    <w:rsid w:val="002B5F39"/>
    <w:rsid w:val="002B610E"/>
    <w:rsid w:val="002B6479"/>
    <w:rsid w:val="002B77C6"/>
    <w:rsid w:val="002C0830"/>
    <w:rsid w:val="002C10E6"/>
    <w:rsid w:val="002C4CC5"/>
    <w:rsid w:val="002C52A7"/>
    <w:rsid w:val="002C5944"/>
    <w:rsid w:val="002C5B43"/>
    <w:rsid w:val="002C5F58"/>
    <w:rsid w:val="002C7177"/>
    <w:rsid w:val="002C729D"/>
    <w:rsid w:val="002C7464"/>
    <w:rsid w:val="002D26D3"/>
    <w:rsid w:val="002D2B21"/>
    <w:rsid w:val="002D5A1B"/>
    <w:rsid w:val="002D5BFC"/>
    <w:rsid w:val="002D5E3F"/>
    <w:rsid w:val="002D5FBC"/>
    <w:rsid w:val="002D68CF"/>
    <w:rsid w:val="002D6952"/>
    <w:rsid w:val="002D76E0"/>
    <w:rsid w:val="002E0185"/>
    <w:rsid w:val="002E0E6A"/>
    <w:rsid w:val="002E1030"/>
    <w:rsid w:val="002E1962"/>
    <w:rsid w:val="002E1E63"/>
    <w:rsid w:val="002E21BA"/>
    <w:rsid w:val="002E2987"/>
    <w:rsid w:val="002E4D33"/>
    <w:rsid w:val="002E5DFA"/>
    <w:rsid w:val="002E5F65"/>
    <w:rsid w:val="002E5F8B"/>
    <w:rsid w:val="002E60DE"/>
    <w:rsid w:val="002E6604"/>
    <w:rsid w:val="002E68D4"/>
    <w:rsid w:val="002E6924"/>
    <w:rsid w:val="002E6BA4"/>
    <w:rsid w:val="002E7E22"/>
    <w:rsid w:val="002F4351"/>
    <w:rsid w:val="002F4646"/>
    <w:rsid w:val="002F4988"/>
    <w:rsid w:val="002F4E20"/>
    <w:rsid w:val="002F56D8"/>
    <w:rsid w:val="002F56DE"/>
    <w:rsid w:val="002F5B2A"/>
    <w:rsid w:val="002F6DB8"/>
    <w:rsid w:val="002F74DF"/>
    <w:rsid w:val="002F7AB7"/>
    <w:rsid w:val="002F7D66"/>
    <w:rsid w:val="003020B6"/>
    <w:rsid w:val="00302E7F"/>
    <w:rsid w:val="00305D98"/>
    <w:rsid w:val="00307635"/>
    <w:rsid w:val="00307820"/>
    <w:rsid w:val="00313C60"/>
    <w:rsid w:val="00314743"/>
    <w:rsid w:val="00315429"/>
    <w:rsid w:val="0031558D"/>
    <w:rsid w:val="00316996"/>
    <w:rsid w:val="00320307"/>
    <w:rsid w:val="00320B91"/>
    <w:rsid w:val="00320F03"/>
    <w:rsid w:val="0032101D"/>
    <w:rsid w:val="003220D9"/>
    <w:rsid w:val="00322E61"/>
    <w:rsid w:val="0032304C"/>
    <w:rsid w:val="00324BCD"/>
    <w:rsid w:val="00324F20"/>
    <w:rsid w:val="0032624A"/>
    <w:rsid w:val="003274C8"/>
    <w:rsid w:val="00327D88"/>
    <w:rsid w:val="00327E22"/>
    <w:rsid w:val="00330D5C"/>
    <w:rsid w:val="003314D9"/>
    <w:rsid w:val="0033341D"/>
    <w:rsid w:val="00334B7D"/>
    <w:rsid w:val="003352C6"/>
    <w:rsid w:val="00336229"/>
    <w:rsid w:val="00342386"/>
    <w:rsid w:val="00342EAC"/>
    <w:rsid w:val="00343A11"/>
    <w:rsid w:val="003445E0"/>
    <w:rsid w:val="003457F2"/>
    <w:rsid w:val="0034712F"/>
    <w:rsid w:val="00351076"/>
    <w:rsid w:val="00351C71"/>
    <w:rsid w:val="00352359"/>
    <w:rsid w:val="0035317E"/>
    <w:rsid w:val="003536AC"/>
    <w:rsid w:val="003542E1"/>
    <w:rsid w:val="00354984"/>
    <w:rsid w:val="00354B6F"/>
    <w:rsid w:val="00355182"/>
    <w:rsid w:val="00355664"/>
    <w:rsid w:val="00355758"/>
    <w:rsid w:val="003563A9"/>
    <w:rsid w:val="00357A92"/>
    <w:rsid w:val="00357BE4"/>
    <w:rsid w:val="003608D7"/>
    <w:rsid w:val="0036097F"/>
    <w:rsid w:val="00363249"/>
    <w:rsid w:val="00363F1B"/>
    <w:rsid w:val="0036656B"/>
    <w:rsid w:val="00367ED7"/>
    <w:rsid w:val="00373BDC"/>
    <w:rsid w:val="003742C2"/>
    <w:rsid w:val="0037471E"/>
    <w:rsid w:val="0037475D"/>
    <w:rsid w:val="003752BC"/>
    <w:rsid w:val="00375510"/>
    <w:rsid w:val="00380192"/>
    <w:rsid w:val="00384396"/>
    <w:rsid w:val="0038457E"/>
    <w:rsid w:val="00385D0B"/>
    <w:rsid w:val="0038725C"/>
    <w:rsid w:val="003874AD"/>
    <w:rsid w:val="0039082F"/>
    <w:rsid w:val="003912FF"/>
    <w:rsid w:val="00395CB4"/>
    <w:rsid w:val="0039688D"/>
    <w:rsid w:val="0039693D"/>
    <w:rsid w:val="003A0AB3"/>
    <w:rsid w:val="003A0EAD"/>
    <w:rsid w:val="003A0F02"/>
    <w:rsid w:val="003A12A0"/>
    <w:rsid w:val="003A2491"/>
    <w:rsid w:val="003A3B7D"/>
    <w:rsid w:val="003A400E"/>
    <w:rsid w:val="003A43DE"/>
    <w:rsid w:val="003A456F"/>
    <w:rsid w:val="003A47D9"/>
    <w:rsid w:val="003A584F"/>
    <w:rsid w:val="003A6556"/>
    <w:rsid w:val="003A66B7"/>
    <w:rsid w:val="003B03D1"/>
    <w:rsid w:val="003B0600"/>
    <w:rsid w:val="003B0B33"/>
    <w:rsid w:val="003B16FF"/>
    <w:rsid w:val="003B1774"/>
    <w:rsid w:val="003B1A19"/>
    <w:rsid w:val="003B1D23"/>
    <w:rsid w:val="003B1DE9"/>
    <w:rsid w:val="003B49F4"/>
    <w:rsid w:val="003B5860"/>
    <w:rsid w:val="003B58CD"/>
    <w:rsid w:val="003B7436"/>
    <w:rsid w:val="003C0C3A"/>
    <w:rsid w:val="003C14A1"/>
    <w:rsid w:val="003D012B"/>
    <w:rsid w:val="003D137D"/>
    <w:rsid w:val="003D5043"/>
    <w:rsid w:val="003D5F1D"/>
    <w:rsid w:val="003D63A2"/>
    <w:rsid w:val="003D6A8C"/>
    <w:rsid w:val="003D6ABF"/>
    <w:rsid w:val="003D6C7B"/>
    <w:rsid w:val="003D6FB8"/>
    <w:rsid w:val="003E0E27"/>
    <w:rsid w:val="003E2C31"/>
    <w:rsid w:val="003E2C66"/>
    <w:rsid w:val="003E2D75"/>
    <w:rsid w:val="003E34CB"/>
    <w:rsid w:val="003E47CD"/>
    <w:rsid w:val="003E513C"/>
    <w:rsid w:val="003E5311"/>
    <w:rsid w:val="003E7AFA"/>
    <w:rsid w:val="003F0737"/>
    <w:rsid w:val="003F0D6F"/>
    <w:rsid w:val="003F3951"/>
    <w:rsid w:val="003F664C"/>
    <w:rsid w:val="003F7C48"/>
    <w:rsid w:val="003F7E6A"/>
    <w:rsid w:val="00400DD1"/>
    <w:rsid w:val="0040152C"/>
    <w:rsid w:val="00401653"/>
    <w:rsid w:val="0040321E"/>
    <w:rsid w:val="00405556"/>
    <w:rsid w:val="00405D48"/>
    <w:rsid w:val="00405E42"/>
    <w:rsid w:val="00407F94"/>
    <w:rsid w:val="00411536"/>
    <w:rsid w:val="00412AFC"/>
    <w:rsid w:val="00415E10"/>
    <w:rsid w:val="00416EF6"/>
    <w:rsid w:val="00417E75"/>
    <w:rsid w:val="004209DC"/>
    <w:rsid w:val="00420AC8"/>
    <w:rsid w:val="004215C8"/>
    <w:rsid w:val="00421E91"/>
    <w:rsid w:val="00423123"/>
    <w:rsid w:val="0042349B"/>
    <w:rsid w:val="00424D96"/>
    <w:rsid w:val="00426FB7"/>
    <w:rsid w:val="00427072"/>
    <w:rsid w:val="00427EDA"/>
    <w:rsid w:val="00427EE4"/>
    <w:rsid w:val="0043161D"/>
    <w:rsid w:val="00432B24"/>
    <w:rsid w:val="00433335"/>
    <w:rsid w:val="00433B9A"/>
    <w:rsid w:val="00434006"/>
    <w:rsid w:val="00436DCB"/>
    <w:rsid w:val="00441CD9"/>
    <w:rsid w:val="0044355A"/>
    <w:rsid w:val="004452A5"/>
    <w:rsid w:val="004455E3"/>
    <w:rsid w:val="004459CA"/>
    <w:rsid w:val="004509D6"/>
    <w:rsid w:val="00451366"/>
    <w:rsid w:val="004514A4"/>
    <w:rsid w:val="0045265F"/>
    <w:rsid w:val="00454DA5"/>
    <w:rsid w:val="004566F7"/>
    <w:rsid w:val="00457630"/>
    <w:rsid w:val="004601CA"/>
    <w:rsid w:val="004612C9"/>
    <w:rsid w:val="00462E46"/>
    <w:rsid w:val="00464277"/>
    <w:rsid w:val="00464A17"/>
    <w:rsid w:val="00465B6A"/>
    <w:rsid w:val="00466822"/>
    <w:rsid w:val="004670AA"/>
    <w:rsid w:val="00467489"/>
    <w:rsid w:val="00471899"/>
    <w:rsid w:val="00473DC4"/>
    <w:rsid w:val="00475417"/>
    <w:rsid w:val="00475AB8"/>
    <w:rsid w:val="00480CDE"/>
    <w:rsid w:val="0048253C"/>
    <w:rsid w:val="0048300B"/>
    <w:rsid w:val="004845AE"/>
    <w:rsid w:val="004861EC"/>
    <w:rsid w:val="004870C7"/>
    <w:rsid w:val="0048783F"/>
    <w:rsid w:val="00491DEE"/>
    <w:rsid w:val="0049209B"/>
    <w:rsid w:val="00492AFA"/>
    <w:rsid w:val="0049311B"/>
    <w:rsid w:val="0049387F"/>
    <w:rsid w:val="00494CFE"/>
    <w:rsid w:val="00494FCD"/>
    <w:rsid w:val="00494FD6"/>
    <w:rsid w:val="00496F68"/>
    <w:rsid w:val="00497BBC"/>
    <w:rsid w:val="00497DFE"/>
    <w:rsid w:val="004A0381"/>
    <w:rsid w:val="004A0B50"/>
    <w:rsid w:val="004A4309"/>
    <w:rsid w:val="004A4C82"/>
    <w:rsid w:val="004A4F49"/>
    <w:rsid w:val="004A512C"/>
    <w:rsid w:val="004A55A1"/>
    <w:rsid w:val="004A712C"/>
    <w:rsid w:val="004B0AE8"/>
    <w:rsid w:val="004B0C15"/>
    <w:rsid w:val="004B0C6D"/>
    <w:rsid w:val="004B0C77"/>
    <w:rsid w:val="004B19B9"/>
    <w:rsid w:val="004B1D45"/>
    <w:rsid w:val="004B1F0E"/>
    <w:rsid w:val="004B29CB"/>
    <w:rsid w:val="004B3D30"/>
    <w:rsid w:val="004B48B0"/>
    <w:rsid w:val="004B5711"/>
    <w:rsid w:val="004B7D0E"/>
    <w:rsid w:val="004C073D"/>
    <w:rsid w:val="004C3F42"/>
    <w:rsid w:val="004C6B58"/>
    <w:rsid w:val="004C7743"/>
    <w:rsid w:val="004D1CC1"/>
    <w:rsid w:val="004D34FC"/>
    <w:rsid w:val="004D3FF5"/>
    <w:rsid w:val="004D44B8"/>
    <w:rsid w:val="004D4563"/>
    <w:rsid w:val="004D47CC"/>
    <w:rsid w:val="004D5445"/>
    <w:rsid w:val="004D596A"/>
    <w:rsid w:val="004D5DFF"/>
    <w:rsid w:val="004D6E79"/>
    <w:rsid w:val="004E070A"/>
    <w:rsid w:val="004E159C"/>
    <w:rsid w:val="004E20E3"/>
    <w:rsid w:val="004E4BDF"/>
    <w:rsid w:val="004E504F"/>
    <w:rsid w:val="004E7229"/>
    <w:rsid w:val="004F041C"/>
    <w:rsid w:val="004F06C6"/>
    <w:rsid w:val="004F16BC"/>
    <w:rsid w:val="004F2278"/>
    <w:rsid w:val="004F22BD"/>
    <w:rsid w:val="004F2CDC"/>
    <w:rsid w:val="004F47B6"/>
    <w:rsid w:val="004F5374"/>
    <w:rsid w:val="004F6499"/>
    <w:rsid w:val="004F6C0E"/>
    <w:rsid w:val="0050009D"/>
    <w:rsid w:val="00502E57"/>
    <w:rsid w:val="00503B8A"/>
    <w:rsid w:val="00506659"/>
    <w:rsid w:val="00506DE1"/>
    <w:rsid w:val="00506E83"/>
    <w:rsid w:val="00506ECC"/>
    <w:rsid w:val="00507010"/>
    <w:rsid w:val="0050715F"/>
    <w:rsid w:val="00507790"/>
    <w:rsid w:val="005113D8"/>
    <w:rsid w:val="00511BF0"/>
    <w:rsid w:val="00512350"/>
    <w:rsid w:val="00513476"/>
    <w:rsid w:val="00513ABE"/>
    <w:rsid w:val="0051512C"/>
    <w:rsid w:val="0051632E"/>
    <w:rsid w:val="00520D5B"/>
    <w:rsid w:val="005214FD"/>
    <w:rsid w:val="0052263A"/>
    <w:rsid w:val="00522B45"/>
    <w:rsid w:val="00522B68"/>
    <w:rsid w:val="00523AC8"/>
    <w:rsid w:val="00526167"/>
    <w:rsid w:val="00526270"/>
    <w:rsid w:val="0052777B"/>
    <w:rsid w:val="00530A76"/>
    <w:rsid w:val="005317CE"/>
    <w:rsid w:val="00531C59"/>
    <w:rsid w:val="00531C67"/>
    <w:rsid w:val="00531CB4"/>
    <w:rsid w:val="005322CC"/>
    <w:rsid w:val="005324DC"/>
    <w:rsid w:val="005328A4"/>
    <w:rsid w:val="00532C65"/>
    <w:rsid w:val="005343F2"/>
    <w:rsid w:val="00536780"/>
    <w:rsid w:val="00536811"/>
    <w:rsid w:val="00543A8D"/>
    <w:rsid w:val="0054563D"/>
    <w:rsid w:val="005459F7"/>
    <w:rsid w:val="005479C1"/>
    <w:rsid w:val="00547F64"/>
    <w:rsid w:val="00550C20"/>
    <w:rsid w:val="00551464"/>
    <w:rsid w:val="00551B04"/>
    <w:rsid w:val="00553D7B"/>
    <w:rsid w:val="00553DB0"/>
    <w:rsid w:val="005546F5"/>
    <w:rsid w:val="00554BED"/>
    <w:rsid w:val="00555780"/>
    <w:rsid w:val="0055703E"/>
    <w:rsid w:val="005570AA"/>
    <w:rsid w:val="005600B5"/>
    <w:rsid w:val="00560912"/>
    <w:rsid w:val="00562AEA"/>
    <w:rsid w:val="0056582C"/>
    <w:rsid w:val="00565D13"/>
    <w:rsid w:val="00565FD5"/>
    <w:rsid w:val="0056611F"/>
    <w:rsid w:val="0056794B"/>
    <w:rsid w:val="00567EEC"/>
    <w:rsid w:val="0057011D"/>
    <w:rsid w:val="005745F9"/>
    <w:rsid w:val="005747CA"/>
    <w:rsid w:val="00574D86"/>
    <w:rsid w:val="0057520B"/>
    <w:rsid w:val="0057631D"/>
    <w:rsid w:val="00577948"/>
    <w:rsid w:val="005812BE"/>
    <w:rsid w:val="00582593"/>
    <w:rsid w:val="005833C9"/>
    <w:rsid w:val="005846C4"/>
    <w:rsid w:val="005853A2"/>
    <w:rsid w:val="00585C7E"/>
    <w:rsid w:val="00586D8C"/>
    <w:rsid w:val="00587C29"/>
    <w:rsid w:val="00592908"/>
    <w:rsid w:val="0059379F"/>
    <w:rsid w:val="005937F4"/>
    <w:rsid w:val="00595B69"/>
    <w:rsid w:val="0059602E"/>
    <w:rsid w:val="00596C81"/>
    <w:rsid w:val="00596EFB"/>
    <w:rsid w:val="00596FBE"/>
    <w:rsid w:val="005A03AA"/>
    <w:rsid w:val="005A0B1E"/>
    <w:rsid w:val="005A1402"/>
    <w:rsid w:val="005A20C5"/>
    <w:rsid w:val="005A3000"/>
    <w:rsid w:val="005A3E6C"/>
    <w:rsid w:val="005A4A44"/>
    <w:rsid w:val="005A6CEB"/>
    <w:rsid w:val="005A7406"/>
    <w:rsid w:val="005B01F6"/>
    <w:rsid w:val="005B044C"/>
    <w:rsid w:val="005B0FA8"/>
    <w:rsid w:val="005B209D"/>
    <w:rsid w:val="005B367A"/>
    <w:rsid w:val="005B5A1B"/>
    <w:rsid w:val="005B69F4"/>
    <w:rsid w:val="005B7599"/>
    <w:rsid w:val="005B78B4"/>
    <w:rsid w:val="005B7AA3"/>
    <w:rsid w:val="005B7B52"/>
    <w:rsid w:val="005B7C84"/>
    <w:rsid w:val="005B7DDC"/>
    <w:rsid w:val="005C1C27"/>
    <w:rsid w:val="005C67FB"/>
    <w:rsid w:val="005C6C41"/>
    <w:rsid w:val="005C7C67"/>
    <w:rsid w:val="005D0FFE"/>
    <w:rsid w:val="005D2161"/>
    <w:rsid w:val="005D30A9"/>
    <w:rsid w:val="005D5363"/>
    <w:rsid w:val="005D5CA0"/>
    <w:rsid w:val="005D5D8C"/>
    <w:rsid w:val="005D6270"/>
    <w:rsid w:val="005D6EEE"/>
    <w:rsid w:val="005E1633"/>
    <w:rsid w:val="005E358F"/>
    <w:rsid w:val="005E4703"/>
    <w:rsid w:val="005E4AFF"/>
    <w:rsid w:val="005E62A9"/>
    <w:rsid w:val="005E7335"/>
    <w:rsid w:val="005F1B48"/>
    <w:rsid w:val="005F1D23"/>
    <w:rsid w:val="005F20D2"/>
    <w:rsid w:val="005F26A1"/>
    <w:rsid w:val="005F33BB"/>
    <w:rsid w:val="005F40C5"/>
    <w:rsid w:val="005F500F"/>
    <w:rsid w:val="005F5551"/>
    <w:rsid w:val="005F5EEA"/>
    <w:rsid w:val="005F6EB0"/>
    <w:rsid w:val="006009D5"/>
    <w:rsid w:val="006009FA"/>
    <w:rsid w:val="006022BC"/>
    <w:rsid w:val="00603499"/>
    <w:rsid w:val="00603FAC"/>
    <w:rsid w:val="00604165"/>
    <w:rsid w:val="00604DD7"/>
    <w:rsid w:val="006051F2"/>
    <w:rsid w:val="00610789"/>
    <w:rsid w:val="00611F28"/>
    <w:rsid w:val="0061210F"/>
    <w:rsid w:val="0061300B"/>
    <w:rsid w:val="006134A3"/>
    <w:rsid w:val="00613CA9"/>
    <w:rsid w:val="006149A8"/>
    <w:rsid w:val="00614B58"/>
    <w:rsid w:val="006152FB"/>
    <w:rsid w:val="00615424"/>
    <w:rsid w:val="006173B6"/>
    <w:rsid w:val="0061799A"/>
    <w:rsid w:val="00617C0A"/>
    <w:rsid w:val="00624946"/>
    <w:rsid w:val="006259A4"/>
    <w:rsid w:val="00625A8A"/>
    <w:rsid w:val="0062697B"/>
    <w:rsid w:val="00626AF0"/>
    <w:rsid w:val="00630209"/>
    <w:rsid w:val="00630906"/>
    <w:rsid w:val="00633726"/>
    <w:rsid w:val="00636E91"/>
    <w:rsid w:val="0064323B"/>
    <w:rsid w:val="00643746"/>
    <w:rsid w:val="006439DE"/>
    <w:rsid w:val="00646858"/>
    <w:rsid w:val="00647287"/>
    <w:rsid w:val="0065137B"/>
    <w:rsid w:val="00653074"/>
    <w:rsid w:val="00653562"/>
    <w:rsid w:val="00653CB0"/>
    <w:rsid w:val="00654067"/>
    <w:rsid w:val="0065529A"/>
    <w:rsid w:val="0066016D"/>
    <w:rsid w:val="006603FA"/>
    <w:rsid w:val="0066068E"/>
    <w:rsid w:val="006639AD"/>
    <w:rsid w:val="00664F5C"/>
    <w:rsid w:val="00667C82"/>
    <w:rsid w:val="00667CB7"/>
    <w:rsid w:val="00671015"/>
    <w:rsid w:val="006711D7"/>
    <w:rsid w:val="006746BC"/>
    <w:rsid w:val="00675C24"/>
    <w:rsid w:val="00676015"/>
    <w:rsid w:val="006761B2"/>
    <w:rsid w:val="006762D7"/>
    <w:rsid w:val="00676867"/>
    <w:rsid w:val="006832DB"/>
    <w:rsid w:val="006855DE"/>
    <w:rsid w:val="00687E5C"/>
    <w:rsid w:val="006916AE"/>
    <w:rsid w:val="006925D8"/>
    <w:rsid w:val="0069382A"/>
    <w:rsid w:val="00696D90"/>
    <w:rsid w:val="006A054D"/>
    <w:rsid w:val="006A0CB3"/>
    <w:rsid w:val="006A2FB6"/>
    <w:rsid w:val="006A490A"/>
    <w:rsid w:val="006A537D"/>
    <w:rsid w:val="006A5712"/>
    <w:rsid w:val="006A5A7C"/>
    <w:rsid w:val="006A64F7"/>
    <w:rsid w:val="006A65F0"/>
    <w:rsid w:val="006A6FD6"/>
    <w:rsid w:val="006A7F73"/>
    <w:rsid w:val="006B0C98"/>
    <w:rsid w:val="006B0E85"/>
    <w:rsid w:val="006B150B"/>
    <w:rsid w:val="006B3BAA"/>
    <w:rsid w:val="006B419A"/>
    <w:rsid w:val="006B64C9"/>
    <w:rsid w:val="006C0796"/>
    <w:rsid w:val="006C21C1"/>
    <w:rsid w:val="006C21E3"/>
    <w:rsid w:val="006C2D16"/>
    <w:rsid w:val="006C2ED4"/>
    <w:rsid w:val="006C4C3A"/>
    <w:rsid w:val="006C5D07"/>
    <w:rsid w:val="006C66C4"/>
    <w:rsid w:val="006C67AF"/>
    <w:rsid w:val="006C7079"/>
    <w:rsid w:val="006D281A"/>
    <w:rsid w:val="006D4065"/>
    <w:rsid w:val="006D415D"/>
    <w:rsid w:val="006D4367"/>
    <w:rsid w:val="006D65D5"/>
    <w:rsid w:val="006D6BCB"/>
    <w:rsid w:val="006D6DB9"/>
    <w:rsid w:val="006D7C11"/>
    <w:rsid w:val="006D7CE4"/>
    <w:rsid w:val="006E04E8"/>
    <w:rsid w:val="006E1443"/>
    <w:rsid w:val="006E174A"/>
    <w:rsid w:val="006E3062"/>
    <w:rsid w:val="006E3798"/>
    <w:rsid w:val="006E3CDE"/>
    <w:rsid w:val="006E4058"/>
    <w:rsid w:val="006E7045"/>
    <w:rsid w:val="006E7622"/>
    <w:rsid w:val="006E767C"/>
    <w:rsid w:val="006E7BAD"/>
    <w:rsid w:val="006F031E"/>
    <w:rsid w:val="006F10A5"/>
    <w:rsid w:val="006F2EF1"/>
    <w:rsid w:val="006F4461"/>
    <w:rsid w:val="006F4D69"/>
    <w:rsid w:val="006F5DCC"/>
    <w:rsid w:val="006F6BE0"/>
    <w:rsid w:val="006F7E9D"/>
    <w:rsid w:val="00700D18"/>
    <w:rsid w:val="0070117D"/>
    <w:rsid w:val="00701594"/>
    <w:rsid w:val="00701F34"/>
    <w:rsid w:val="00701FFF"/>
    <w:rsid w:val="00703240"/>
    <w:rsid w:val="007067D8"/>
    <w:rsid w:val="007075BF"/>
    <w:rsid w:val="00707D5E"/>
    <w:rsid w:val="00710020"/>
    <w:rsid w:val="00712B97"/>
    <w:rsid w:val="0071370F"/>
    <w:rsid w:val="00714D75"/>
    <w:rsid w:val="007161C7"/>
    <w:rsid w:val="00716893"/>
    <w:rsid w:val="00716A91"/>
    <w:rsid w:val="00717093"/>
    <w:rsid w:val="007170F7"/>
    <w:rsid w:val="007174D4"/>
    <w:rsid w:val="0072063C"/>
    <w:rsid w:val="00720BFF"/>
    <w:rsid w:val="00720E35"/>
    <w:rsid w:val="0072275C"/>
    <w:rsid w:val="00723B6B"/>
    <w:rsid w:val="00726227"/>
    <w:rsid w:val="0072624C"/>
    <w:rsid w:val="00726438"/>
    <w:rsid w:val="00726902"/>
    <w:rsid w:val="00726B04"/>
    <w:rsid w:val="00726D96"/>
    <w:rsid w:val="00726E19"/>
    <w:rsid w:val="007270DA"/>
    <w:rsid w:val="0072768F"/>
    <w:rsid w:val="00727A84"/>
    <w:rsid w:val="00731D18"/>
    <w:rsid w:val="007339CC"/>
    <w:rsid w:val="007346A7"/>
    <w:rsid w:val="00734D29"/>
    <w:rsid w:val="007370F8"/>
    <w:rsid w:val="0074157A"/>
    <w:rsid w:val="00741734"/>
    <w:rsid w:val="007417A9"/>
    <w:rsid w:val="00741FBB"/>
    <w:rsid w:val="007421D4"/>
    <w:rsid w:val="0074230D"/>
    <w:rsid w:val="00742310"/>
    <w:rsid w:val="00742730"/>
    <w:rsid w:val="0074344C"/>
    <w:rsid w:val="00744007"/>
    <w:rsid w:val="0074537B"/>
    <w:rsid w:val="00745904"/>
    <w:rsid w:val="00745F95"/>
    <w:rsid w:val="00746F7A"/>
    <w:rsid w:val="00747893"/>
    <w:rsid w:val="00750045"/>
    <w:rsid w:val="007501B6"/>
    <w:rsid w:val="00750A28"/>
    <w:rsid w:val="00750A9F"/>
    <w:rsid w:val="00751106"/>
    <w:rsid w:val="00752565"/>
    <w:rsid w:val="007553EC"/>
    <w:rsid w:val="007553F5"/>
    <w:rsid w:val="00756FF2"/>
    <w:rsid w:val="00760D32"/>
    <w:rsid w:val="00761BA3"/>
    <w:rsid w:val="00762F10"/>
    <w:rsid w:val="00763F32"/>
    <w:rsid w:val="007651D8"/>
    <w:rsid w:val="0076757F"/>
    <w:rsid w:val="00767F9D"/>
    <w:rsid w:val="0077019D"/>
    <w:rsid w:val="00771661"/>
    <w:rsid w:val="00771739"/>
    <w:rsid w:val="00772BDA"/>
    <w:rsid w:val="00774EF8"/>
    <w:rsid w:val="0077687E"/>
    <w:rsid w:val="0077694C"/>
    <w:rsid w:val="00776C1A"/>
    <w:rsid w:val="007773CC"/>
    <w:rsid w:val="00777F70"/>
    <w:rsid w:val="00780A73"/>
    <w:rsid w:val="007827D7"/>
    <w:rsid w:val="00783031"/>
    <w:rsid w:val="00783589"/>
    <w:rsid w:val="00783E5D"/>
    <w:rsid w:val="007841ED"/>
    <w:rsid w:val="00784A7F"/>
    <w:rsid w:val="00784F47"/>
    <w:rsid w:val="0078544C"/>
    <w:rsid w:val="00785792"/>
    <w:rsid w:val="007858EA"/>
    <w:rsid w:val="007859A0"/>
    <w:rsid w:val="007900C6"/>
    <w:rsid w:val="0079021F"/>
    <w:rsid w:val="00790E7C"/>
    <w:rsid w:val="007911A9"/>
    <w:rsid w:val="00792B19"/>
    <w:rsid w:val="007945AE"/>
    <w:rsid w:val="0079495B"/>
    <w:rsid w:val="0079511E"/>
    <w:rsid w:val="00795B4A"/>
    <w:rsid w:val="0079706E"/>
    <w:rsid w:val="0079719F"/>
    <w:rsid w:val="00797483"/>
    <w:rsid w:val="007A208D"/>
    <w:rsid w:val="007A23EC"/>
    <w:rsid w:val="007A24A8"/>
    <w:rsid w:val="007A2EEE"/>
    <w:rsid w:val="007A3193"/>
    <w:rsid w:val="007A4402"/>
    <w:rsid w:val="007A47BC"/>
    <w:rsid w:val="007A50A2"/>
    <w:rsid w:val="007A6069"/>
    <w:rsid w:val="007A6C45"/>
    <w:rsid w:val="007A7CDB"/>
    <w:rsid w:val="007B0244"/>
    <w:rsid w:val="007B0378"/>
    <w:rsid w:val="007B0D1F"/>
    <w:rsid w:val="007B24A3"/>
    <w:rsid w:val="007B3962"/>
    <w:rsid w:val="007B4ECB"/>
    <w:rsid w:val="007B51B8"/>
    <w:rsid w:val="007B5475"/>
    <w:rsid w:val="007B7030"/>
    <w:rsid w:val="007B7138"/>
    <w:rsid w:val="007C102B"/>
    <w:rsid w:val="007C1956"/>
    <w:rsid w:val="007C3614"/>
    <w:rsid w:val="007C3DB1"/>
    <w:rsid w:val="007C4494"/>
    <w:rsid w:val="007C4FDD"/>
    <w:rsid w:val="007D00A2"/>
    <w:rsid w:val="007D201A"/>
    <w:rsid w:val="007D449E"/>
    <w:rsid w:val="007D55BD"/>
    <w:rsid w:val="007D5DBD"/>
    <w:rsid w:val="007D6C2C"/>
    <w:rsid w:val="007D6FDE"/>
    <w:rsid w:val="007E038D"/>
    <w:rsid w:val="007E161D"/>
    <w:rsid w:val="007E170C"/>
    <w:rsid w:val="007E1777"/>
    <w:rsid w:val="007E33EB"/>
    <w:rsid w:val="007F0C63"/>
    <w:rsid w:val="007F1227"/>
    <w:rsid w:val="007F1551"/>
    <w:rsid w:val="007F1CA4"/>
    <w:rsid w:val="007F24E5"/>
    <w:rsid w:val="007F2B90"/>
    <w:rsid w:val="007F34CB"/>
    <w:rsid w:val="007F3789"/>
    <w:rsid w:val="007F4F62"/>
    <w:rsid w:val="007F66A7"/>
    <w:rsid w:val="00800B65"/>
    <w:rsid w:val="0080130F"/>
    <w:rsid w:val="008032A6"/>
    <w:rsid w:val="008038C4"/>
    <w:rsid w:val="00803C6E"/>
    <w:rsid w:val="00804672"/>
    <w:rsid w:val="0080478A"/>
    <w:rsid w:val="00806EB9"/>
    <w:rsid w:val="00807956"/>
    <w:rsid w:val="0081032C"/>
    <w:rsid w:val="00810B3C"/>
    <w:rsid w:val="0081194F"/>
    <w:rsid w:val="00812859"/>
    <w:rsid w:val="00812A9E"/>
    <w:rsid w:val="00812AA1"/>
    <w:rsid w:val="00812D27"/>
    <w:rsid w:val="00812EA7"/>
    <w:rsid w:val="008135D0"/>
    <w:rsid w:val="00813794"/>
    <w:rsid w:val="00815401"/>
    <w:rsid w:val="0081780B"/>
    <w:rsid w:val="00821E9D"/>
    <w:rsid w:val="0082558D"/>
    <w:rsid w:val="00826631"/>
    <w:rsid w:val="0083136A"/>
    <w:rsid w:val="00831719"/>
    <w:rsid w:val="00831990"/>
    <w:rsid w:val="00831FCF"/>
    <w:rsid w:val="00833CDF"/>
    <w:rsid w:val="00833E8F"/>
    <w:rsid w:val="00833E9F"/>
    <w:rsid w:val="0083480B"/>
    <w:rsid w:val="00837920"/>
    <w:rsid w:val="00837D6E"/>
    <w:rsid w:val="008400B6"/>
    <w:rsid w:val="0084308B"/>
    <w:rsid w:val="008442EE"/>
    <w:rsid w:val="00844743"/>
    <w:rsid w:val="00844A31"/>
    <w:rsid w:val="00846C80"/>
    <w:rsid w:val="00847D34"/>
    <w:rsid w:val="00850063"/>
    <w:rsid w:val="00851A02"/>
    <w:rsid w:val="008524B6"/>
    <w:rsid w:val="008529A3"/>
    <w:rsid w:val="00853D3C"/>
    <w:rsid w:val="00853DAE"/>
    <w:rsid w:val="00853EE8"/>
    <w:rsid w:val="00854A2F"/>
    <w:rsid w:val="00856D21"/>
    <w:rsid w:val="00857360"/>
    <w:rsid w:val="00857F65"/>
    <w:rsid w:val="0086062D"/>
    <w:rsid w:val="00860D35"/>
    <w:rsid w:val="0086202E"/>
    <w:rsid w:val="00864C24"/>
    <w:rsid w:val="00866A56"/>
    <w:rsid w:val="008674A7"/>
    <w:rsid w:val="00867EEE"/>
    <w:rsid w:val="008700C6"/>
    <w:rsid w:val="008711E9"/>
    <w:rsid w:val="00872F3B"/>
    <w:rsid w:val="008731CE"/>
    <w:rsid w:val="008735BE"/>
    <w:rsid w:val="00873846"/>
    <w:rsid w:val="00876873"/>
    <w:rsid w:val="00876B85"/>
    <w:rsid w:val="008771D5"/>
    <w:rsid w:val="00880BFE"/>
    <w:rsid w:val="00881B9D"/>
    <w:rsid w:val="00882351"/>
    <w:rsid w:val="008829F3"/>
    <w:rsid w:val="00882AEE"/>
    <w:rsid w:val="008852E3"/>
    <w:rsid w:val="0088686A"/>
    <w:rsid w:val="0088690A"/>
    <w:rsid w:val="00886B39"/>
    <w:rsid w:val="008874DF"/>
    <w:rsid w:val="00887BA6"/>
    <w:rsid w:val="00890164"/>
    <w:rsid w:val="00891369"/>
    <w:rsid w:val="00891805"/>
    <w:rsid w:val="00893301"/>
    <w:rsid w:val="00894CE5"/>
    <w:rsid w:val="0089553E"/>
    <w:rsid w:val="00896365"/>
    <w:rsid w:val="008963D2"/>
    <w:rsid w:val="00897796"/>
    <w:rsid w:val="008A00D0"/>
    <w:rsid w:val="008A0192"/>
    <w:rsid w:val="008A1461"/>
    <w:rsid w:val="008A20A3"/>
    <w:rsid w:val="008A288B"/>
    <w:rsid w:val="008A337F"/>
    <w:rsid w:val="008A3752"/>
    <w:rsid w:val="008A3F51"/>
    <w:rsid w:val="008A4086"/>
    <w:rsid w:val="008A45CD"/>
    <w:rsid w:val="008A526B"/>
    <w:rsid w:val="008A5A97"/>
    <w:rsid w:val="008A5DDD"/>
    <w:rsid w:val="008A779F"/>
    <w:rsid w:val="008A7933"/>
    <w:rsid w:val="008B071D"/>
    <w:rsid w:val="008B1300"/>
    <w:rsid w:val="008B1944"/>
    <w:rsid w:val="008B2872"/>
    <w:rsid w:val="008B3754"/>
    <w:rsid w:val="008B4FF2"/>
    <w:rsid w:val="008B65C3"/>
    <w:rsid w:val="008B6726"/>
    <w:rsid w:val="008C118F"/>
    <w:rsid w:val="008C674B"/>
    <w:rsid w:val="008C73C6"/>
    <w:rsid w:val="008D0694"/>
    <w:rsid w:val="008D0A96"/>
    <w:rsid w:val="008D1A02"/>
    <w:rsid w:val="008D2595"/>
    <w:rsid w:val="008D2A67"/>
    <w:rsid w:val="008D3343"/>
    <w:rsid w:val="008D5D05"/>
    <w:rsid w:val="008D5DE4"/>
    <w:rsid w:val="008D60A8"/>
    <w:rsid w:val="008D699C"/>
    <w:rsid w:val="008D6FFE"/>
    <w:rsid w:val="008D7A58"/>
    <w:rsid w:val="008E0118"/>
    <w:rsid w:val="008E01B6"/>
    <w:rsid w:val="008E0A34"/>
    <w:rsid w:val="008E2103"/>
    <w:rsid w:val="008E35DD"/>
    <w:rsid w:val="008E3784"/>
    <w:rsid w:val="008E39BA"/>
    <w:rsid w:val="008E422C"/>
    <w:rsid w:val="008E5019"/>
    <w:rsid w:val="008E5124"/>
    <w:rsid w:val="008E5278"/>
    <w:rsid w:val="008E67C1"/>
    <w:rsid w:val="008E6D7E"/>
    <w:rsid w:val="008E71D2"/>
    <w:rsid w:val="008E7239"/>
    <w:rsid w:val="008E7F12"/>
    <w:rsid w:val="008F27C6"/>
    <w:rsid w:val="008F301E"/>
    <w:rsid w:val="008F325C"/>
    <w:rsid w:val="008F5DBF"/>
    <w:rsid w:val="008F6912"/>
    <w:rsid w:val="008F7B27"/>
    <w:rsid w:val="00900D90"/>
    <w:rsid w:val="0090257E"/>
    <w:rsid w:val="009039E0"/>
    <w:rsid w:val="00904614"/>
    <w:rsid w:val="00906236"/>
    <w:rsid w:val="00907FA1"/>
    <w:rsid w:val="00910689"/>
    <w:rsid w:val="00914438"/>
    <w:rsid w:val="0091478E"/>
    <w:rsid w:val="00916BCF"/>
    <w:rsid w:val="009170F4"/>
    <w:rsid w:val="009174EC"/>
    <w:rsid w:val="00917588"/>
    <w:rsid w:val="009179FD"/>
    <w:rsid w:val="00920B1D"/>
    <w:rsid w:val="009212BE"/>
    <w:rsid w:val="009215C8"/>
    <w:rsid w:val="00923213"/>
    <w:rsid w:val="009236DE"/>
    <w:rsid w:val="009238D6"/>
    <w:rsid w:val="00926638"/>
    <w:rsid w:val="00927CE8"/>
    <w:rsid w:val="00930EA3"/>
    <w:rsid w:val="00932AE7"/>
    <w:rsid w:val="009333D1"/>
    <w:rsid w:val="00935353"/>
    <w:rsid w:val="0093603D"/>
    <w:rsid w:val="009365AC"/>
    <w:rsid w:val="00943815"/>
    <w:rsid w:val="00943E99"/>
    <w:rsid w:val="0094468A"/>
    <w:rsid w:val="00944E87"/>
    <w:rsid w:val="009472DB"/>
    <w:rsid w:val="00950B68"/>
    <w:rsid w:val="009512B6"/>
    <w:rsid w:val="00951B83"/>
    <w:rsid w:val="009520E7"/>
    <w:rsid w:val="00952923"/>
    <w:rsid w:val="00952A8B"/>
    <w:rsid w:val="009535C9"/>
    <w:rsid w:val="0095410E"/>
    <w:rsid w:val="00954E3D"/>
    <w:rsid w:val="00955C32"/>
    <w:rsid w:val="00957A6E"/>
    <w:rsid w:val="00960853"/>
    <w:rsid w:val="00962A0E"/>
    <w:rsid w:val="00966B9A"/>
    <w:rsid w:val="009676E2"/>
    <w:rsid w:val="00967FB9"/>
    <w:rsid w:val="0097086D"/>
    <w:rsid w:val="00972504"/>
    <w:rsid w:val="00972F33"/>
    <w:rsid w:val="00974452"/>
    <w:rsid w:val="009747AC"/>
    <w:rsid w:val="009763E5"/>
    <w:rsid w:val="00980C63"/>
    <w:rsid w:val="009810F1"/>
    <w:rsid w:val="0098243F"/>
    <w:rsid w:val="0098525C"/>
    <w:rsid w:val="0098583F"/>
    <w:rsid w:val="00985E06"/>
    <w:rsid w:val="00985EB7"/>
    <w:rsid w:val="0098625D"/>
    <w:rsid w:val="00987794"/>
    <w:rsid w:val="009904EC"/>
    <w:rsid w:val="0099062D"/>
    <w:rsid w:val="0099233C"/>
    <w:rsid w:val="00992712"/>
    <w:rsid w:val="00993951"/>
    <w:rsid w:val="0099495A"/>
    <w:rsid w:val="00994C50"/>
    <w:rsid w:val="00996275"/>
    <w:rsid w:val="00996688"/>
    <w:rsid w:val="00996C28"/>
    <w:rsid w:val="009A02FC"/>
    <w:rsid w:val="009A070A"/>
    <w:rsid w:val="009A073C"/>
    <w:rsid w:val="009A170F"/>
    <w:rsid w:val="009A1FE7"/>
    <w:rsid w:val="009A2543"/>
    <w:rsid w:val="009A472E"/>
    <w:rsid w:val="009A494B"/>
    <w:rsid w:val="009A4EC9"/>
    <w:rsid w:val="009A6B7B"/>
    <w:rsid w:val="009B1F99"/>
    <w:rsid w:val="009B2EB9"/>
    <w:rsid w:val="009B333A"/>
    <w:rsid w:val="009B3CE4"/>
    <w:rsid w:val="009B3F53"/>
    <w:rsid w:val="009B43CC"/>
    <w:rsid w:val="009B452B"/>
    <w:rsid w:val="009B533F"/>
    <w:rsid w:val="009C03EE"/>
    <w:rsid w:val="009C0621"/>
    <w:rsid w:val="009C10CD"/>
    <w:rsid w:val="009C3A35"/>
    <w:rsid w:val="009C3BE0"/>
    <w:rsid w:val="009C3F05"/>
    <w:rsid w:val="009C4B15"/>
    <w:rsid w:val="009C58D8"/>
    <w:rsid w:val="009C5A92"/>
    <w:rsid w:val="009C601E"/>
    <w:rsid w:val="009C63A4"/>
    <w:rsid w:val="009C6EB6"/>
    <w:rsid w:val="009C727D"/>
    <w:rsid w:val="009D1A1E"/>
    <w:rsid w:val="009D218A"/>
    <w:rsid w:val="009D3537"/>
    <w:rsid w:val="009D3D4A"/>
    <w:rsid w:val="009D41A9"/>
    <w:rsid w:val="009D4378"/>
    <w:rsid w:val="009D517E"/>
    <w:rsid w:val="009D5744"/>
    <w:rsid w:val="009D7A06"/>
    <w:rsid w:val="009E1999"/>
    <w:rsid w:val="009E1BDC"/>
    <w:rsid w:val="009E308D"/>
    <w:rsid w:val="009E31ED"/>
    <w:rsid w:val="009E3373"/>
    <w:rsid w:val="009E53DE"/>
    <w:rsid w:val="009E57D2"/>
    <w:rsid w:val="009E5D35"/>
    <w:rsid w:val="009E67F4"/>
    <w:rsid w:val="009E78DA"/>
    <w:rsid w:val="009F206D"/>
    <w:rsid w:val="009F2874"/>
    <w:rsid w:val="009F4D57"/>
    <w:rsid w:val="009F7EB9"/>
    <w:rsid w:val="00A01EA4"/>
    <w:rsid w:val="00A02D9C"/>
    <w:rsid w:val="00A02EDA"/>
    <w:rsid w:val="00A037DA"/>
    <w:rsid w:val="00A03F69"/>
    <w:rsid w:val="00A0485C"/>
    <w:rsid w:val="00A04F32"/>
    <w:rsid w:val="00A05E3C"/>
    <w:rsid w:val="00A05EBE"/>
    <w:rsid w:val="00A11FE5"/>
    <w:rsid w:val="00A137A6"/>
    <w:rsid w:val="00A14127"/>
    <w:rsid w:val="00A149B6"/>
    <w:rsid w:val="00A14F89"/>
    <w:rsid w:val="00A165D0"/>
    <w:rsid w:val="00A17E16"/>
    <w:rsid w:val="00A20BCC"/>
    <w:rsid w:val="00A21A6E"/>
    <w:rsid w:val="00A21AB4"/>
    <w:rsid w:val="00A22769"/>
    <w:rsid w:val="00A229FC"/>
    <w:rsid w:val="00A23129"/>
    <w:rsid w:val="00A2386F"/>
    <w:rsid w:val="00A2503A"/>
    <w:rsid w:val="00A26D54"/>
    <w:rsid w:val="00A2759D"/>
    <w:rsid w:val="00A2781B"/>
    <w:rsid w:val="00A30E7F"/>
    <w:rsid w:val="00A31157"/>
    <w:rsid w:val="00A3117B"/>
    <w:rsid w:val="00A3336A"/>
    <w:rsid w:val="00A34526"/>
    <w:rsid w:val="00A34770"/>
    <w:rsid w:val="00A348D5"/>
    <w:rsid w:val="00A37036"/>
    <w:rsid w:val="00A40399"/>
    <w:rsid w:val="00A403FB"/>
    <w:rsid w:val="00A41153"/>
    <w:rsid w:val="00A41EC1"/>
    <w:rsid w:val="00A42082"/>
    <w:rsid w:val="00A43B89"/>
    <w:rsid w:val="00A44006"/>
    <w:rsid w:val="00A44E39"/>
    <w:rsid w:val="00A457D9"/>
    <w:rsid w:val="00A45A14"/>
    <w:rsid w:val="00A45B95"/>
    <w:rsid w:val="00A45BDA"/>
    <w:rsid w:val="00A4602A"/>
    <w:rsid w:val="00A46570"/>
    <w:rsid w:val="00A46577"/>
    <w:rsid w:val="00A47DD2"/>
    <w:rsid w:val="00A505A6"/>
    <w:rsid w:val="00A51601"/>
    <w:rsid w:val="00A516CA"/>
    <w:rsid w:val="00A51F2D"/>
    <w:rsid w:val="00A53296"/>
    <w:rsid w:val="00A5348A"/>
    <w:rsid w:val="00A53EBE"/>
    <w:rsid w:val="00A54A87"/>
    <w:rsid w:val="00A54EAE"/>
    <w:rsid w:val="00A5555B"/>
    <w:rsid w:val="00A55731"/>
    <w:rsid w:val="00A55D30"/>
    <w:rsid w:val="00A563F3"/>
    <w:rsid w:val="00A569EA"/>
    <w:rsid w:val="00A56CF0"/>
    <w:rsid w:val="00A6133D"/>
    <w:rsid w:val="00A62656"/>
    <w:rsid w:val="00A629CB"/>
    <w:rsid w:val="00A62A10"/>
    <w:rsid w:val="00A62D35"/>
    <w:rsid w:val="00A63C15"/>
    <w:rsid w:val="00A63C8A"/>
    <w:rsid w:val="00A64871"/>
    <w:rsid w:val="00A6671F"/>
    <w:rsid w:val="00A66F53"/>
    <w:rsid w:val="00A70D57"/>
    <w:rsid w:val="00A71EAB"/>
    <w:rsid w:val="00A720A9"/>
    <w:rsid w:val="00A73C28"/>
    <w:rsid w:val="00A74C77"/>
    <w:rsid w:val="00A74CC8"/>
    <w:rsid w:val="00A75358"/>
    <w:rsid w:val="00A76C50"/>
    <w:rsid w:val="00A76DD9"/>
    <w:rsid w:val="00A7789A"/>
    <w:rsid w:val="00A802C0"/>
    <w:rsid w:val="00A8349D"/>
    <w:rsid w:val="00A86952"/>
    <w:rsid w:val="00A86F0F"/>
    <w:rsid w:val="00A90691"/>
    <w:rsid w:val="00A906A6"/>
    <w:rsid w:val="00A906A7"/>
    <w:rsid w:val="00A90866"/>
    <w:rsid w:val="00A90A4E"/>
    <w:rsid w:val="00A925E0"/>
    <w:rsid w:val="00A931DF"/>
    <w:rsid w:val="00A93399"/>
    <w:rsid w:val="00A93AAF"/>
    <w:rsid w:val="00A93BDA"/>
    <w:rsid w:val="00A96F10"/>
    <w:rsid w:val="00AA07E9"/>
    <w:rsid w:val="00AA1012"/>
    <w:rsid w:val="00AA3DB0"/>
    <w:rsid w:val="00AA4CF7"/>
    <w:rsid w:val="00AA5016"/>
    <w:rsid w:val="00AA56D3"/>
    <w:rsid w:val="00AA5DF0"/>
    <w:rsid w:val="00AA5FA2"/>
    <w:rsid w:val="00AA65A8"/>
    <w:rsid w:val="00AA6C1D"/>
    <w:rsid w:val="00AA72EC"/>
    <w:rsid w:val="00AA761F"/>
    <w:rsid w:val="00AA7B62"/>
    <w:rsid w:val="00AB1106"/>
    <w:rsid w:val="00AB3A11"/>
    <w:rsid w:val="00AB4914"/>
    <w:rsid w:val="00AB4CEC"/>
    <w:rsid w:val="00AB5405"/>
    <w:rsid w:val="00AB61DD"/>
    <w:rsid w:val="00AB68CC"/>
    <w:rsid w:val="00AB6921"/>
    <w:rsid w:val="00AB6CEE"/>
    <w:rsid w:val="00AC03D1"/>
    <w:rsid w:val="00AC0631"/>
    <w:rsid w:val="00AC1A99"/>
    <w:rsid w:val="00AC2A21"/>
    <w:rsid w:val="00AC381E"/>
    <w:rsid w:val="00AC386D"/>
    <w:rsid w:val="00AC4BE9"/>
    <w:rsid w:val="00AC55E8"/>
    <w:rsid w:val="00AC59BD"/>
    <w:rsid w:val="00AC7B92"/>
    <w:rsid w:val="00AD127F"/>
    <w:rsid w:val="00AD153E"/>
    <w:rsid w:val="00AD4A10"/>
    <w:rsid w:val="00AD57D8"/>
    <w:rsid w:val="00AD6073"/>
    <w:rsid w:val="00AE06EC"/>
    <w:rsid w:val="00AE314F"/>
    <w:rsid w:val="00AE4F95"/>
    <w:rsid w:val="00AE643B"/>
    <w:rsid w:val="00AE795D"/>
    <w:rsid w:val="00AF01EF"/>
    <w:rsid w:val="00AF0FAA"/>
    <w:rsid w:val="00AF100C"/>
    <w:rsid w:val="00AF1549"/>
    <w:rsid w:val="00AF1C8B"/>
    <w:rsid w:val="00AF20FE"/>
    <w:rsid w:val="00AF23D6"/>
    <w:rsid w:val="00AF55F2"/>
    <w:rsid w:val="00AF59B1"/>
    <w:rsid w:val="00AF632D"/>
    <w:rsid w:val="00AF6349"/>
    <w:rsid w:val="00AF7CED"/>
    <w:rsid w:val="00B005E0"/>
    <w:rsid w:val="00B00B5C"/>
    <w:rsid w:val="00B00E4B"/>
    <w:rsid w:val="00B024D4"/>
    <w:rsid w:val="00B0256B"/>
    <w:rsid w:val="00B03D20"/>
    <w:rsid w:val="00B04119"/>
    <w:rsid w:val="00B0515C"/>
    <w:rsid w:val="00B063D1"/>
    <w:rsid w:val="00B10767"/>
    <w:rsid w:val="00B10D5D"/>
    <w:rsid w:val="00B11501"/>
    <w:rsid w:val="00B134BE"/>
    <w:rsid w:val="00B1376C"/>
    <w:rsid w:val="00B1702A"/>
    <w:rsid w:val="00B21E9F"/>
    <w:rsid w:val="00B22904"/>
    <w:rsid w:val="00B23AC1"/>
    <w:rsid w:val="00B24042"/>
    <w:rsid w:val="00B245FE"/>
    <w:rsid w:val="00B24DDA"/>
    <w:rsid w:val="00B25603"/>
    <w:rsid w:val="00B25DDC"/>
    <w:rsid w:val="00B25F36"/>
    <w:rsid w:val="00B266AD"/>
    <w:rsid w:val="00B27557"/>
    <w:rsid w:val="00B3075F"/>
    <w:rsid w:val="00B31AD8"/>
    <w:rsid w:val="00B31BD0"/>
    <w:rsid w:val="00B32141"/>
    <w:rsid w:val="00B3250D"/>
    <w:rsid w:val="00B33BD2"/>
    <w:rsid w:val="00B33E4E"/>
    <w:rsid w:val="00B33FA8"/>
    <w:rsid w:val="00B36A5D"/>
    <w:rsid w:val="00B36B90"/>
    <w:rsid w:val="00B374DE"/>
    <w:rsid w:val="00B414B5"/>
    <w:rsid w:val="00B42CEE"/>
    <w:rsid w:val="00B4329B"/>
    <w:rsid w:val="00B44726"/>
    <w:rsid w:val="00B44D09"/>
    <w:rsid w:val="00B44FB3"/>
    <w:rsid w:val="00B459B8"/>
    <w:rsid w:val="00B45B72"/>
    <w:rsid w:val="00B466DC"/>
    <w:rsid w:val="00B4741C"/>
    <w:rsid w:val="00B47DE8"/>
    <w:rsid w:val="00B507AF"/>
    <w:rsid w:val="00B52C9F"/>
    <w:rsid w:val="00B53353"/>
    <w:rsid w:val="00B5492E"/>
    <w:rsid w:val="00B54974"/>
    <w:rsid w:val="00B54A32"/>
    <w:rsid w:val="00B5553F"/>
    <w:rsid w:val="00B55DF4"/>
    <w:rsid w:val="00B562B7"/>
    <w:rsid w:val="00B5726A"/>
    <w:rsid w:val="00B57660"/>
    <w:rsid w:val="00B57A1B"/>
    <w:rsid w:val="00B627AA"/>
    <w:rsid w:val="00B6350F"/>
    <w:rsid w:val="00B63680"/>
    <w:rsid w:val="00B63A16"/>
    <w:rsid w:val="00B63C21"/>
    <w:rsid w:val="00B63C28"/>
    <w:rsid w:val="00B67798"/>
    <w:rsid w:val="00B70092"/>
    <w:rsid w:val="00B7049D"/>
    <w:rsid w:val="00B70F59"/>
    <w:rsid w:val="00B7239C"/>
    <w:rsid w:val="00B72679"/>
    <w:rsid w:val="00B72DE5"/>
    <w:rsid w:val="00B73D15"/>
    <w:rsid w:val="00B7469C"/>
    <w:rsid w:val="00B74D3D"/>
    <w:rsid w:val="00B767EE"/>
    <w:rsid w:val="00B77016"/>
    <w:rsid w:val="00B773F9"/>
    <w:rsid w:val="00B77941"/>
    <w:rsid w:val="00B779F8"/>
    <w:rsid w:val="00B77F84"/>
    <w:rsid w:val="00B800EF"/>
    <w:rsid w:val="00B80141"/>
    <w:rsid w:val="00B82638"/>
    <w:rsid w:val="00B82856"/>
    <w:rsid w:val="00B82A78"/>
    <w:rsid w:val="00B83432"/>
    <w:rsid w:val="00B83BF0"/>
    <w:rsid w:val="00B84A22"/>
    <w:rsid w:val="00B84C6A"/>
    <w:rsid w:val="00B8543E"/>
    <w:rsid w:val="00B90078"/>
    <w:rsid w:val="00B909DC"/>
    <w:rsid w:val="00B913AC"/>
    <w:rsid w:val="00B92202"/>
    <w:rsid w:val="00B9364F"/>
    <w:rsid w:val="00B93B03"/>
    <w:rsid w:val="00B93D50"/>
    <w:rsid w:val="00B94895"/>
    <w:rsid w:val="00B948CB"/>
    <w:rsid w:val="00B956AE"/>
    <w:rsid w:val="00B96074"/>
    <w:rsid w:val="00B97DFB"/>
    <w:rsid w:val="00BA00DA"/>
    <w:rsid w:val="00BA1086"/>
    <w:rsid w:val="00BA164D"/>
    <w:rsid w:val="00BA27BF"/>
    <w:rsid w:val="00BA28CD"/>
    <w:rsid w:val="00BA3990"/>
    <w:rsid w:val="00BA3B70"/>
    <w:rsid w:val="00BA5DD3"/>
    <w:rsid w:val="00BA5F6E"/>
    <w:rsid w:val="00BA65FA"/>
    <w:rsid w:val="00BA68A3"/>
    <w:rsid w:val="00BA6EC9"/>
    <w:rsid w:val="00BA7392"/>
    <w:rsid w:val="00BA7BA3"/>
    <w:rsid w:val="00BA7F01"/>
    <w:rsid w:val="00BB0331"/>
    <w:rsid w:val="00BB070D"/>
    <w:rsid w:val="00BB133B"/>
    <w:rsid w:val="00BB1373"/>
    <w:rsid w:val="00BB2241"/>
    <w:rsid w:val="00BB24D8"/>
    <w:rsid w:val="00BB3ABF"/>
    <w:rsid w:val="00BB6558"/>
    <w:rsid w:val="00BB711D"/>
    <w:rsid w:val="00BC0056"/>
    <w:rsid w:val="00BC15BE"/>
    <w:rsid w:val="00BC1B13"/>
    <w:rsid w:val="00BC2D43"/>
    <w:rsid w:val="00BC3C6D"/>
    <w:rsid w:val="00BC44B6"/>
    <w:rsid w:val="00BC4D8D"/>
    <w:rsid w:val="00BC6CE2"/>
    <w:rsid w:val="00BD0DDD"/>
    <w:rsid w:val="00BD0E22"/>
    <w:rsid w:val="00BD1318"/>
    <w:rsid w:val="00BD1591"/>
    <w:rsid w:val="00BD18E8"/>
    <w:rsid w:val="00BD1EDC"/>
    <w:rsid w:val="00BD2E23"/>
    <w:rsid w:val="00BD42E4"/>
    <w:rsid w:val="00BD43EF"/>
    <w:rsid w:val="00BD44E3"/>
    <w:rsid w:val="00BD7559"/>
    <w:rsid w:val="00BD7CF6"/>
    <w:rsid w:val="00BE1075"/>
    <w:rsid w:val="00BE1AD4"/>
    <w:rsid w:val="00BE2A04"/>
    <w:rsid w:val="00BE3B52"/>
    <w:rsid w:val="00BE575F"/>
    <w:rsid w:val="00BE5BB1"/>
    <w:rsid w:val="00BE66CF"/>
    <w:rsid w:val="00BE6960"/>
    <w:rsid w:val="00BE7B2A"/>
    <w:rsid w:val="00BE7B65"/>
    <w:rsid w:val="00BE7FD5"/>
    <w:rsid w:val="00BF075F"/>
    <w:rsid w:val="00BF13B0"/>
    <w:rsid w:val="00BF1CD1"/>
    <w:rsid w:val="00BF1ED9"/>
    <w:rsid w:val="00BF21AB"/>
    <w:rsid w:val="00BF2714"/>
    <w:rsid w:val="00BF3197"/>
    <w:rsid w:val="00BF4924"/>
    <w:rsid w:val="00BF6583"/>
    <w:rsid w:val="00BF6BDA"/>
    <w:rsid w:val="00BF701A"/>
    <w:rsid w:val="00BF7B8F"/>
    <w:rsid w:val="00C0147C"/>
    <w:rsid w:val="00C014FE"/>
    <w:rsid w:val="00C025ED"/>
    <w:rsid w:val="00C0297D"/>
    <w:rsid w:val="00C040DC"/>
    <w:rsid w:val="00C04163"/>
    <w:rsid w:val="00C05FFA"/>
    <w:rsid w:val="00C07CD6"/>
    <w:rsid w:val="00C07EE5"/>
    <w:rsid w:val="00C1399E"/>
    <w:rsid w:val="00C1582C"/>
    <w:rsid w:val="00C17D0F"/>
    <w:rsid w:val="00C2099A"/>
    <w:rsid w:val="00C2159E"/>
    <w:rsid w:val="00C2239B"/>
    <w:rsid w:val="00C22CA1"/>
    <w:rsid w:val="00C24009"/>
    <w:rsid w:val="00C2432C"/>
    <w:rsid w:val="00C24A11"/>
    <w:rsid w:val="00C2673B"/>
    <w:rsid w:val="00C27262"/>
    <w:rsid w:val="00C27C26"/>
    <w:rsid w:val="00C27C27"/>
    <w:rsid w:val="00C27D04"/>
    <w:rsid w:val="00C31A2F"/>
    <w:rsid w:val="00C32438"/>
    <w:rsid w:val="00C338A7"/>
    <w:rsid w:val="00C3435F"/>
    <w:rsid w:val="00C357CF"/>
    <w:rsid w:val="00C35E08"/>
    <w:rsid w:val="00C36070"/>
    <w:rsid w:val="00C3650E"/>
    <w:rsid w:val="00C36AAA"/>
    <w:rsid w:val="00C37CFF"/>
    <w:rsid w:val="00C4253A"/>
    <w:rsid w:val="00C43030"/>
    <w:rsid w:val="00C45706"/>
    <w:rsid w:val="00C45938"/>
    <w:rsid w:val="00C45B04"/>
    <w:rsid w:val="00C472B3"/>
    <w:rsid w:val="00C50E57"/>
    <w:rsid w:val="00C51DF7"/>
    <w:rsid w:val="00C54A56"/>
    <w:rsid w:val="00C54AFA"/>
    <w:rsid w:val="00C5523E"/>
    <w:rsid w:val="00C56227"/>
    <w:rsid w:val="00C57EC6"/>
    <w:rsid w:val="00C60E06"/>
    <w:rsid w:val="00C619A1"/>
    <w:rsid w:val="00C61AA7"/>
    <w:rsid w:val="00C62859"/>
    <w:rsid w:val="00C62B23"/>
    <w:rsid w:val="00C65903"/>
    <w:rsid w:val="00C66331"/>
    <w:rsid w:val="00C731AA"/>
    <w:rsid w:val="00C742BD"/>
    <w:rsid w:val="00C765E3"/>
    <w:rsid w:val="00C76B1B"/>
    <w:rsid w:val="00C77085"/>
    <w:rsid w:val="00C777DB"/>
    <w:rsid w:val="00C80326"/>
    <w:rsid w:val="00C823CF"/>
    <w:rsid w:val="00C83411"/>
    <w:rsid w:val="00C84F6D"/>
    <w:rsid w:val="00C867EC"/>
    <w:rsid w:val="00C91445"/>
    <w:rsid w:val="00C9247F"/>
    <w:rsid w:val="00C92711"/>
    <w:rsid w:val="00C92AD9"/>
    <w:rsid w:val="00C93175"/>
    <w:rsid w:val="00C94047"/>
    <w:rsid w:val="00C945D6"/>
    <w:rsid w:val="00C95333"/>
    <w:rsid w:val="00C968E7"/>
    <w:rsid w:val="00C96FA0"/>
    <w:rsid w:val="00CA0407"/>
    <w:rsid w:val="00CA08EB"/>
    <w:rsid w:val="00CA0DA2"/>
    <w:rsid w:val="00CA1158"/>
    <w:rsid w:val="00CA1626"/>
    <w:rsid w:val="00CA2DD6"/>
    <w:rsid w:val="00CA30EF"/>
    <w:rsid w:val="00CA4B9C"/>
    <w:rsid w:val="00CA5E0F"/>
    <w:rsid w:val="00CA6865"/>
    <w:rsid w:val="00CA7C35"/>
    <w:rsid w:val="00CB009C"/>
    <w:rsid w:val="00CB1B3E"/>
    <w:rsid w:val="00CB1E61"/>
    <w:rsid w:val="00CB20CA"/>
    <w:rsid w:val="00CB30A8"/>
    <w:rsid w:val="00CB3AD6"/>
    <w:rsid w:val="00CB437F"/>
    <w:rsid w:val="00CB4BBF"/>
    <w:rsid w:val="00CB5336"/>
    <w:rsid w:val="00CB54F3"/>
    <w:rsid w:val="00CB5825"/>
    <w:rsid w:val="00CB6870"/>
    <w:rsid w:val="00CB6E5B"/>
    <w:rsid w:val="00CB7912"/>
    <w:rsid w:val="00CC0907"/>
    <w:rsid w:val="00CC1E79"/>
    <w:rsid w:val="00CC26B4"/>
    <w:rsid w:val="00CC2C20"/>
    <w:rsid w:val="00CC405D"/>
    <w:rsid w:val="00CC5185"/>
    <w:rsid w:val="00CC52A8"/>
    <w:rsid w:val="00CC5737"/>
    <w:rsid w:val="00CC65D7"/>
    <w:rsid w:val="00CC6C38"/>
    <w:rsid w:val="00CD09F3"/>
    <w:rsid w:val="00CD0CA9"/>
    <w:rsid w:val="00CD2B85"/>
    <w:rsid w:val="00CD357D"/>
    <w:rsid w:val="00CD35D3"/>
    <w:rsid w:val="00CD4D34"/>
    <w:rsid w:val="00CD5E2F"/>
    <w:rsid w:val="00CD6DDD"/>
    <w:rsid w:val="00CE0C92"/>
    <w:rsid w:val="00CE14DB"/>
    <w:rsid w:val="00CE3BF8"/>
    <w:rsid w:val="00CE5426"/>
    <w:rsid w:val="00CE644B"/>
    <w:rsid w:val="00CE7126"/>
    <w:rsid w:val="00CE792E"/>
    <w:rsid w:val="00CF0E7D"/>
    <w:rsid w:val="00CF52CF"/>
    <w:rsid w:val="00CF58BA"/>
    <w:rsid w:val="00CF657C"/>
    <w:rsid w:val="00CF7039"/>
    <w:rsid w:val="00CF72E6"/>
    <w:rsid w:val="00D00192"/>
    <w:rsid w:val="00D024F2"/>
    <w:rsid w:val="00D050BC"/>
    <w:rsid w:val="00D054FA"/>
    <w:rsid w:val="00D05812"/>
    <w:rsid w:val="00D05838"/>
    <w:rsid w:val="00D06ADD"/>
    <w:rsid w:val="00D0710D"/>
    <w:rsid w:val="00D10E80"/>
    <w:rsid w:val="00D12510"/>
    <w:rsid w:val="00D12EBE"/>
    <w:rsid w:val="00D14352"/>
    <w:rsid w:val="00D14900"/>
    <w:rsid w:val="00D14FB8"/>
    <w:rsid w:val="00D158F4"/>
    <w:rsid w:val="00D1661A"/>
    <w:rsid w:val="00D17760"/>
    <w:rsid w:val="00D179BB"/>
    <w:rsid w:val="00D17FB5"/>
    <w:rsid w:val="00D21A57"/>
    <w:rsid w:val="00D25A0E"/>
    <w:rsid w:val="00D27BB2"/>
    <w:rsid w:val="00D32022"/>
    <w:rsid w:val="00D32496"/>
    <w:rsid w:val="00D32C01"/>
    <w:rsid w:val="00D347B9"/>
    <w:rsid w:val="00D34EAE"/>
    <w:rsid w:val="00D354C7"/>
    <w:rsid w:val="00D35842"/>
    <w:rsid w:val="00D35969"/>
    <w:rsid w:val="00D366FE"/>
    <w:rsid w:val="00D377E1"/>
    <w:rsid w:val="00D4117F"/>
    <w:rsid w:val="00D428BF"/>
    <w:rsid w:val="00D440F6"/>
    <w:rsid w:val="00D442CA"/>
    <w:rsid w:val="00D44D6E"/>
    <w:rsid w:val="00D4566D"/>
    <w:rsid w:val="00D45D2B"/>
    <w:rsid w:val="00D472E9"/>
    <w:rsid w:val="00D5092F"/>
    <w:rsid w:val="00D51434"/>
    <w:rsid w:val="00D51CA5"/>
    <w:rsid w:val="00D523D4"/>
    <w:rsid w:val="00D52A74"/>
    <w:rsid w:val="00D53B00"/>
    <w:rsid w:val="00D546E3"/>
    <w:rsid w:val="00D55AB4"/>
    <w:rsid w:val="00D573ED"/>
    <w:rsid w:val="00D60293"/>
    <w:rsid w:val="00D6053D"/>
    <w:rsid w:val="00D619F9"/>
    <w:rsid w:val="00D61C92"/>
    <w:rsid w:val="00D6248E"/>
    <w:rsid w:val="00D62D05"/>
    <w:rsid w:val="00D63FEA"/>
    <w:rsid w:val="00D64B9E"/>
    <w:rsid w:val="00D64F51"/>
    <w:rsid w:val="00D65517"/>
    <w:rsid w:val="00D661FB"/>
    <w:rsid w:val="00D66850"/>
    <w:rsid w:val="00D679C3"/>
    <w:rsid w:val="00D703EB"/>
    <w:rsid w:val="00D7105A"/>
    <w:rsid w:val="00D71843"/>
    <w:rsid w:val="00D718F0"/>
    <w:rsid w:val="00D73A7F"/>
    <w:rsid w:val="00D74D93"/>
    <w:rsid w:val="00D7528C"/>
    <w:rsid w:val="00D75CC8"/>
    <w:rsid w:val="00D77B0A"/>
    <w:rsid w:val="00D77F23"/>
    <w:rsid w:val="00D82721"/>
    <w:rsid w:val="00D83F20"/>
    <w:rsid w:val="00D85479"/>
    <w:rsid w:val="00D8716E"/>
    <w:rsid w:val="00D87A25"/>
    <w:rsid w:val="00D87CC7"/>
    <w:rsid w:val="00D91242"/>
    <w:rsid w:val="00D926F1"/>
    <w:rsid w:val="00D970B6"/>
    <w:rsid w:val="00DA06C9"/>
    <w:rsid w:val="00DA1364"/>
    <w:rsid w:val="00DA2648"/>
    <w:rsid w:val="00DA2AF8"/>
    <w:rsid w:val="00DA2DBB"/>
    <w:rsid w:val="00DA32BC"/>
    <w:rsid w:val="00DA45C5"/>
    <w:rsid w:val="00DA5935"/>
    <w:rsid w:val="00DA6BD2"/>
    <w:rsid w:val="00DB051E"/>
    <w:rsid w:val="00DB10A9"/>
    <w:rsid w:val="00DB2BC0"/>
    <w:rsid w:val="00DB4874"/>
    <w:rsid w:val="00DB713A"/>
    <w:rsid w:val="00DB7150"/>
    <w:rsid w:val="00DC028F"/>
    <w:rsid w:val="00DC0CBF"/>
    <w:rsid w:val="00DC3156"/>
    <w:rsid w:val="00DC3216"/>
    <w:rsid w:val="00DC3BE2"/>
    <w:rsid w:val="00DC44B4"/>
    <w:rsid w:val="00DC598A"/>
    <w:rsid w:val="00DC59F0"/>
    <w:rsid w:val="00DC6475"/>
    <w:rsid w:val="00DC682A"/>
    <w:rsid w:val="00DC68E3"/>
    <w:rsid w:val="00DC78B8"/>
    <w:rsid w:val="00DC78DA"/>
    <w:rsid w:val="00DD05F1"/>
    <w:rsid w:val="00DD0F9C"/>
    <w:rsid w:val="00DD1924"/>
    <w:rsid w:val="00DD1E35"/>
    <w:rsid w:val="00DD1F15"/>
    <w:rsid w:val="00DD3A32"/>
    <w:rsid w:val="00DD4FEC"/>
    <w:rsid w:val="00DD5A9F"/>
    <w:rsid w:val="00DD5E8B"/>
    <w:rsid w:val="00DE015C"/>
    <w:rsid w:val="00DE0814"/>
    <w:rsid w:val="00DE0CF2"/>
    <w:rsid w:val="00DE1C4C"/>
    <w:rsid w:val="00DE3ABD"/>
    <w:rsid w:val="00DE4D4B"/>
    <w:rsid w:val="00DE55DC"/>
    <w:rsid w:val="00DE5FFA"/>
    <w:rsid w:val="00DE6E82"/>
    <w:rsid w:val="00DF032E"/>
    <w:rsid w:val="00DF190B"/>
    <w:rsid w:val="00DF2098"/>
    <w:rsid w:val="00DF2409"/>
    <w:rsid w:val="00DF3287"/>
    <w:rsid w:val="00DF6110"/>
    <w:rsid w:val="00DF6AD2"/>
    <w:rsid w:val="00DF7257"/>
    <w:rsid w:val="00DF73CE"/>
    <w:rsid w:val="00DF78B5"/>
    <w:rsid w:val="00DF7D45"/>
    <w:rsid w:val="00E025A4"/>
    <w:rsid w:val="00E049A1"/>
    <w:rsid w:val="00E052AC"/>
    <w:rsid w:val="00E07765"/>
    <w:rsid w:val="00E12C5A"/>
    <w:rsid w:val="00E138CF"/>
    <w:rsid w:val="00E15132"/>
    <w:rsid w:val="00E1539E"/>
    <w:rsid w:val="00E17AB3"/>
    <w:rsid w:val="00E24101"/>
    <w:rsid w:val="00E2492D"/>
    <w:rsid w:val="00E249B8"/>
    <w:rsid w:val="00E24DE5"/>
    <w:rsid w:val="00E25127"/>
    <w:rsid w:val="00E2606B"/>
    <w:rsid w:val="00E31246"/>
    <w:rsid w:val="00E31DBB"/>
    <w:rsid w:val="00E320B9"/>
    <w:rsid w:val="00E32C87"/>
    <w:rsid w:val="00E3319A"/>
    <w:rsid w:val="00E33B87"/>
    <w:rsid w:val="00E33C44"/>
    <w:rsid w:val="00E3531C"/>
    <w:rsid w:val="00E40EA3"/>
    <w:rsid w:val="00E4185C"/>
    <w:rsid w:val="00E42060"/>
    <w:rsid w:val="00E42A74"/>
    <w:rsid w:val="00E44D30"/>
    <w:rsid w:val="00E47518"/>
    <w:rsid w:val="00E47E1B"/>
    <w:rsid w:val="00E528F4"/>
    <w:rsid w:val="00E55DBB"/>
    <w:rsid w:val="00E57657"/>
    <w:rsid w:val="00E6121D"/>
    <w:rsid w:val="00E61689"/>
    <w:rsid w:val="00E61EC1"/>
    <w:rsid w:val="00E6358B"/>
    <w:rsid w:val="00E64475"/>
    <w:rsid w:val="00E64C45"/>
    <w:rsid w:val="00E64E48"/>
    <w:rsid w:val="00E669D0"/>
    <w:rsid w:val="00E67B47"/>
    <w:rsid w:val="00E70D6C"/>
    <w:rsid w:val="00E7305D"/>
    <w:rsid w:val="00E73177"/>
    <w:rsid w:val="00E73766"/>
    <w:rsid w:val="00E73990"/>
    <w:rsid w:val="00E74387"/>
    <w:rsid w:val="00E74A1D"/>
    <w:rsid w:val="00E750E5"/>
    <w:rsid w:val="00E7614C"/>
    <w:rsid w:val="00E762C9"/>
    <w:rsid w:val="00E82CD1"/>
    <w:rsid w:val="00E847DF"/>
    <w:rsid w:val="00E85427"/>
    <w:rsid w:val="00E91286"/>
    <w:rsid w:val="00E95ECA"/>
    <w:rsid w:val="00E96366"/>
    <w:rsid w:val="00E97140"/>
    <w:rsid w:val="00E977FB"/>
    <w:rsid w:val="00E97AF8"/>
    <w:rsid w:val="00EA03B1"/>
    <w:rsid w:val="00EA0966"/>
    <w:rsid w:val="00EA106F"/>
    <w:rsid w:val="00EA2D03"/>
    <w:rsid w:val="00EA384A"/>
    <w:rsid w:val="00EA4D1F"/>
    <w:rsid w:val="00EA53BD"/>
    <w:rsid w:val="00EA6507"/>
    <w:rsid w:val="00EA6F3A"/>
    <w:rsid w:val="00EA7BBD"/>
    <w:rsid w:val="00EB087C"/>
    <w:rsid w:val="00EB094C"/>
    <w:rsid w:val="00EB51BA"/>
    <w:rsid w:val="00EB5F7C"/>
    <w:rsid w:val="00EB7A57"/>
    <w:rsid w:val="00EC01A3"/>
    <w:rsid w:val="00EC0236"/>
    <w:rsid w:val="00EC07AB"/>
    <w:rsid w:val="00EC0B3E"/>
    <w:rsid w:val="00EC1C6B"/>
    <w:rsid w:val="00EC1DDB"/>
    <w:rsid w:val="00EC23BC"/>
    <w:rsid w:val="00EC4396"/>
    <w:rsid w:val="00EC4633"/>
    <w:rsid w:val="00EC54B6"/>
    <w:rsid w:val="00EC721F"/>
    <w:rsid w:val="00ED03C2"/>
    <w:rsid w:val="00ED051D"/>
    <w:rsid w:val="00ED0534"/>
    <w:rsid w:val="00ED2AC3"/>
    <w:rsid w:val="00ED426D"/>
    <w:rsid w:val="00ED5426"/>
    <w:rsid w:val="00ED5AE3"/>
    <w:rsid w:val="00ED5BD5"/>
    <w:rsid w:val="00ED65E3"/>
    <w:rsid w:val="00ED79D9"/>
    <w:rsid w:val="00EE4A46"/>
    <w:rsid w:val="00EE4B9D"/>
    <w:rsid w:val="00EE61D6"/>
    <w:rsid w:val="00EE73FE"/>
    <w:rsid w:val="00EF0173"/>
    <w:rsid w:val="00EF03D9"/>
    <w:rsid w:val="00EF0894"/>
    <w:rsid w:val="00EF099B"/>
    <w:rsid w:val="00EF256F"/>
    <w:rsid w:val="00EF3153"/>
    <w:rsid w:val="00EF33DA"/>
    <w:rsid w:val="00EF40F3"/>
    <w:rsid w:val="00EF42C2"/>
    <w:rsid w:val="00EF45D0"/>
    <w:rsid w:val="00EF5FE2"/>
    <w:rsid w:val="00EF7032"/>
    <w:rsid w:val="00EF72DA"/>
    <w:rsid w:val="00EF74EF"/>
    <w:rsid w:val="00EF75F8"/>
    <w:rsid w:val="00EF7619"/>
    <w:rsid w:val="00EF7FEB"/>
    <w:rsid w:val="00F02147"/>
    <w:rsid w:val="00F0242C"/>
    <w:rsid w:val="00F03A16"/>
    <w:rsid w:val="00F06240"/>
    <w:rsid w:val="00F1026F"/>
    <w:rsid w:val="00F10628"/>
    <w:rsid w:val="00F11D3F"/>
    <w:rsid w:val="00F12FC8"/>
    <w:rsid w:val="00F13006"/>
    <w:rsid w:val="00F13508"/>
    <w:rsid w:val="00F1442D"/>
    <w:rsid w:val="00F15AF3"/>
    <w:rsid w:val="00F20FBF"/>
    <w:rsid w:val="00F21DFF"/>
    <w:rsid w:val="00F222A3"/>
    <w:rsid w:val="00F229C1"/>
    <w:rsid w:val="00F24015"/>
    <w:rsid w:val="00F246E7"/>
    <w:rsid w:val="00F2509A"/>
    <w:rsid w:val="00F258A3"/>
    <w:rsid w:val="00F261BC"/>
    <w:rsid w:val="00F26412"/>
    <w:rsid w:val="00F30DA4"/>
    <w:rsid w:val="00F319F6"/>
    <w:rsid w:val="00F34719"/>
    <w:rsid w:val="00F353DE"/>
    <w:rsid w:val="00F354E3"/>
    <w:rsid w:val="00F35DBB"/>
    <w:rsid w:val="00F3746B"/>
    <w:rsid w:val="00F3757A"/>
    <w:rsid w:val="00F37DBD"/>
    <w:rsid w:val="00F37FAF"/>
    <w:rsid w:val="00F401B2"/>
    <w:rsid w:val="00F40499"/>
    <w:rsid w:val="00F416F5"/>
    <w:rsid w:val="00F45040"/>
    <w:rsid w:val="00F47500"/>
    <w:rsid w:val="00F47B09"/>
    <w:rsid w:val="00F47B1B"/>
    <w:rsid w:val="00F50027"/>
    <w:rsid w:val="00F50EA5"/>
    <w:rsid w:val="00F54A52"/>
    <w:rsid w:val="00F54D22"/>
    <w:rsid w:val="00F56715"/>
    <w:rsid w:val="00F57449"/>
    <w:rsid w:val="00F574A2"/>
    <w:rsid w:val="00F57D4D"/>
    <w:rsid w:val="00F6057B"/>
    <w:rsid w:val="00F61463"/>
    <w:rsid w:val="00F61E3B"/>
    <w:rsid w:val="00F6276A"/>
    <w:rsid w:val="00F63237"/>
    <w:rsid w:val="00F6398E"/>
    <w:rsid w:val="00F6477D"/>
    <w:rsid w:val="00F64F3D"/>
    <w:rsid w:val="00F65B6C"/>
    <w:rsid w:val="00F67C3D"/>
    <w:rsid w:val="00F7036A"/>
    <w:rsid w:val="00F70EFB"/>
    <w:rsid w:val="00F71A82"/>
    <w:rsid w:val="00F73DC5"/>
    <w:rsid w:val="00F74492"/>
    <w:rsid w:val="00F745D7"/>
    <w:rsid w:val="00F74B99"/>
    <w:rsid w:val="00F74EC2"/>
    <w:rsid w:val="00F75EA8"/>
    <w:rsid w:val="00F76A3D"/>
    <w:rsid w:val="00F76DB1"/>
    <w:rsid w:val="00F77A16"/>
    <w:rsid w:val="00F820B5"/>
    <w:rsid w:val="00F8216E"/>
    <w:rsid w:val="00F83D39"/>
    <w:rsid w:val="00F848F8"/>
    <w:rsid w:val="00F84A41"/>
    <w:rsid w:val="00F84DCC"/>
    <w:rsid w:val="00F869C5"/>
    <w:rsid w:val="00F87023"/>
    <w:rsid w:val="00F90B87"/>
    <w:rsid w:val="00F92F83"/>
    <w:rsid w:val="00F93FD2"/>
    <w:rsid w:val="00F940D6"/>
    <w:rsid w:val="00F94CFD"/>
    <w:rsid w:val="00F94E97"/>
    <w:rsid w:val="00F955C2"/>
    <w:rsid w:val="00F97903"/>
    <w:rsid w:val="00FA1A18"/>
    <w:rsid w:val="00FA285D"/>
    <w:rsid w:val="00FA2DDD"/>
    <w:rsid w:val="00FA38CF"/>
    <w:rsid w:val="00FA5BF0"/>
    <w:rsid w:val="00FA6188"/>
    <w:rsid w:val="00FA63DE"/>
    <w:rsid w:val="00FA741F"/>
    <w:rsid w:val="00FA7C22"/>
    <w:rsid w:val="00FB0659"/>
    <w:rsid w:val="00FB102B"/>
    <w:rsid w:val="00FB120F"/>
    <w:rsid w:val="00FB2C36"/>
    <w:rsid w:val="00FB2D08"/>
    <w:rsid w:val="00FB3F4D"/>
    <w:rsid w:val="00FB4BAB"/>
    <w:rsid w:val="00FB57B1"/>
    <w:rsid w:val="00FB585C"/>
    <w:rsid w:val="00FB70B9"/>
    <w:rsid w:val="00FB76F3"/>
    <w:rsid w:val="00FC00E5"/>
    <w:rsid w:val="00FC0A24"/>
    <w:rsid w:val="00FC1165"/>
    <w:rsid w:val="00FC31C2"/>
    <w:rsid w:val="00FC653E"/>
    <w:rsid w:val="00FC727C"/>
    <w:rsid w:val="00FC7ED8"/>
    <w:rsid w:val="00FD015F"/>
    <w:rsid w:val="00FD0713"/>
    <w:rsid w:val="00FD0BA2"/>
    <w:rsid w:val="00FD25AC"/>
    <w:rsid w:val="00FD2C73"/>
    <w:rsid w:val="00FD2F25"/>
    <w:rsid w:val="00FD4A89"/>
    <w:rsid w:val="00FD4BD0"/>
    <w:rsid w:val="00FD5437"/>
    <w:rsid w:val="00FD5AD0"/>
    <w:rsid w:val="00FD5F89"/>
    <w:rsid w:val="00FE0C85"/>
    <w:rsid w:val="00FE1023"/>
    <w:rsid w:val="00FE12E1"/>
    <w:rsid w:val="00FE1CDD"/>
    <w:rsid w:val="00FE24BE"/>
    <w:rsid w:val="00FE3995"/>
    <w:rsid w:val="00FE6F79"/>
    <w:rsid w:val="00FE7240"/>
    <w:rsid w:val="00FE7EC8"/>
    <w:rsid w:val="00FF0871"/>
    <w:rsid w:val="00FF0E67"/>
    <w:rsid w:val="00FF6575"/>
    <w:rsid w:val="00FF735D"/>
    <w:rsid w:val="029DA69F"/>
    <w:rsid w:val="02AA50B0"/>
    <w:rsid w:val="0475F82F"/>
    <w:rsid w:val="068DE38A"/>
    <w:rsid w:val="07240213"/>
    <w:rsid w:val="09A141C5"/>
    <w:rsid w:val="0C4147C3"/>
    <w:rsid w:val="0E4EEED4"/>
    <w:rsid w:val="0F655908"/>
    <w:rsid w:val="0F7131A9"/>
    <w:rsid w:val="18885B9D"/>
    <w:rsid w:val="1ADF63BA"/>
    <w:rsid w:val="1BE305F4"/>
    <w:rsid w:val="1F61ADB3"/>
    <w:rsid w:val="26A53E70"/>
    <w:rsid w:val="27E3D87F"/>
    <w:rsid w:val="281B187A"/>
    <w:rsid w:val="2A8C4352"/>
    <w:rsid w:val="2AFE10A7"/>
    <w:rsid w:val="2C496942"/>
    <w:rsid w:val="312A6B11"/>
    <w:rsid w:val="32499493"/>
    <w:rsid w:val="35F55F3A"/>
    <w:rsid w:val="3A108612"/>
    <w:rsid w:val="3A7D5B59"/>
    <w:rsid w:val="3DD73994"/>
    <w:rsid w:val="3E280BD6"/>
    <w:rsid w:val="4206AD50"/>
    <w:rsid w:val="4C2B5055"/>
    <w:rsid w:val="500CAE55"/>
    <w:rsid w:val="52151424"/>
    <w:rsid w:val="55EB9896"/>
    <w:rsid w:val="5766B9FD"/>
    <w:rsid w:val="5831D77D"/>
    <w:rsid w:val="5882BA7F"/>
    <w:rsid w:val="594D0E9E"/>
    <w:rsid w:val="59533F25"/>
    <w:rsid w:val="601E5196"/>
    <w:rsid w:val="61C1D205"/>
    <w:rsid w:val="62B6A679"/>
    <w:rsid w:val="658EC632"/>
    <w:rsid w:val="66B99662"/>
    <w:rsid w:val="6B9DFAEE"/>
    <w:rsid w:val="6C3A4B6B"/>
    <w:rsid w:val="6C734C73"/>
    <w:rsid w:val="6E178A4F"/>
    <w:rsid w:val="70082775"/>
    <w:rsid w:val="723B5026"/>
    <w:rsid w:val="73F28ECA"/>
    <w:rsid w:val="75039443"/>
    <w:rsid w:val="76E30720"/>
    <w:rsid w:val="7E19632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352D0"/>
  <w15:docId w15:val="{798B64B9-CC1E-4D8B-A1B8-80BE2225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97"/>
    <w:pPr>
      <w:spacing w:after="120" w:line="240" w:lineRule="auto"/>
      <w:ind w:firstLine="567"/>
      <w:jc w:val="both"/>
    </w:pPr>
    <w:rPr>
      <w:rFonts w:ascii="Times New Roman" w:eastAsia="Times New Roman" w:hAnsi="Times New Roman" w:cs="Times New Roman"/>
      <w:color w:val="17365D"/>
      <w:sz w:val="24"/>
      <w:szCs w:val="24"/>
      <w:lang w:eastAsia="lv-LV"/>
    </w:rPr>
  </w:style>
  <w:style w:type="paragraph" w:styleId="Heading1">
    <w:name w:val="heading 1"/>
    <w:basedOn w:val="Pamatteksts1"/>
    <w:next w:val="Pamatteksts1"/>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1"/>
    <w:next w:val="Pamatteksts1"/>
    <w:link w:val="TitleChar"/>
    <w:qFormat/>
    <w:rsid w:val="00F94E97"/>
    <w:pPr>
      <w:spacing w:after="300"/>
      <w:ind w:firstLine="0"/>
      <w:jc w:val="center"/>
    </w:pPr>
    <w:rPr>
      <w:rFonts w:eastAsiaTheme="majorEastAsia" w:cstheme="majorBidi"/>
      <w:b/>
      <w:color w:val="17365D"/>
      <w:spacing w:val="5"/>
      <w:kern w:val="28"/>
      <w:sz w:val="28"/>
      <w:szCs w:val="52"/>
    </w:rPr>
  </w:style>
  <w:style w:type="character" w:customStyle="1" w:styleId="TitleChar">
    <w:name w:val="Title Char"/>
    <w:basedOn w:val="DefaultParagraphFont"/>
    <w:link w:val="Title"/>
    <w:rsid w:val="00F94E97"/>
    <w:rPr>
      <w:rFonts w:ascii="Times New Roman" w:eastAsiaTheme="majorEastAsia" w:hAnsi="Times New Roman" w:cstheme="majorBidi"/>
      <w:b/>
      <w:noProof/>
      <w:color w:val="17365D"/>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basedOn w:val="Normal"/>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22"/>
      </w:numPr>
    </w:pPr>
  </w:style>
  <w:style w:type="paragraph" w:styleId="Header">
    <w:name w:val="header"/>
    <w:link w:val="Head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uiPriority w:val="99"/>
    <w:rsid w:val="00D55AB4"/>
    <w:rPr>
      <w:rFonts w:ascii="Times New Roman" w:eastAsia="Times New Roman" w:hAnsi="Times New Roman" w:cs="Times New Roman"/>
      <w:sz w:val="20"/>
      <w:szCs w:val="24"/>
      <w:lang w:eastAsia="lv-LV"/>
    </w:rPr>
  </w:style>
  <w:style w:type="paragraph" w:styleId="Footer">
    <w:name w:val="footer"/>
    <w:link w:val="FooterChar"/>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3"/>
      </w:numPr>
    </w:pPr>
  </w:style>
  <w:style w:type="numbering" w:customStyle="1" w:styleId="StyleOutlinenumberedLeft0cmHanging063cm">
    <w:name w:val="Style Outline numbered Left:  0 cm Hanging:  0.63 cm"/>
    <w:basedOn w:val="NoList"/>
    <w:rsid w:val="00D55AB4"/>
    <w:pPr>
      <w:numPr>
        <w:numId w:val="26"/>
      </w:numPr>
    </w:pPr>
  </w:style>
  <w:style w:type="numbering" w:customStyle="1" w:styleId="StyleOutlinenumberedLeft0cmHanging063cm1">
    <w:name w:val="Style Outline numbered Left:  0 cm Hanging:  0.63 cm1"/>
    <w:basedOn w:val="NoList"/>
    <w:rsid w:val="00D55AB4"/>
    <w:pPr>
      <w:numPr>
        <w:numId w:val="27"/>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1">
    <w:name w:val="Pamatteksts1"/>
    <w:qFormat/>
    <w:rsid w:val="001310B5"/>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eksts">
    <w:name w:val="teksts"/>
    <w:rsid w:val="00C472B3"/>
    <w:pPr>
      <w:spacing w:after="40" w:line="240" w:lineRule="auto"/>
      <w:jc w:val="both"/>
    </w:pPr>
    <w:rPr>
      <w:rFonts w:ascii="Garamond" w:eastAsia="Times New Roman" w:hAnsi="Garamond" w:cs="Times New Roman"/>
      <w:kern w:val="24"/>
      <w:sz w:val="24"/>
      <w:szCs w:val="20"/>
    </w:rPr>
  </w:style>
  <w:style w:type="character" w:customStyle="1" w:styleId="spelle">
    <w:name w:val="spelle"/>
    <w:basedOn w:val="DefaultParagraphFont"/>
    <w:rsid w:val="00C472B3"/>
  </w:style>
  <w:style w:type="paragraph" w:styleId="BalloonText">
    <w:name w:val="Balloon Text"/>
    <w:basedOn w:val="Normal"/>
    <w:link w:val="BalloonTextChar"/>
    <w:semiHidden/>
    <w:unhideWhenUsed/>
    <w:rsid w:val="004D34FC"/>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4D34FC"/>
    <w:rPr>
      <w:rFonts w:ascii="Tahoma" w:eastAsia="Times New Roman" w:hAnsi="Tahoma" w:cs="Tahoma"/>
      <w:sz w:val="16"/>
      <w:szCs w:val="16"/>
      <w:lang w:eastAsia="lv-LV"/>
    </w:rPr>
  </w:style>
  <w:style w:type="paragraph" w:customStyle="1" w:styleId="Default">
    <w:name w:val="Default"/>
    <w:rsid w:val="008038C4"/>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semiHidden/>
    <w:unhideWhenUsed/>
    <w:rsid w:val="00AE4F95"/>
    <w:rPr>
      <w:sz w:val="16"/>
      <w:szCs w:val="16"/>
    </w:rPr>
  </w:style>
  <w:style w:type="paragraph" w:styleId="CommentText">
    <w:name w:val="annotation text"/>
    <w:basedOn w:val="Normal"/>
    <w:link w:val="CommentTextChar"/>
    <w:unhideWhenUsed/>
    <w:rsid w:val="00AE4F95"/>
    <w:rPr>
      <w:sz w:val="20"/>
      <w:szCs w:val="20"/>
    </w:rPr>
  </w:style>
  <w:style w:type="character" w:customStyle="1" w:styleId="CommentTextChar">
    <w:name w:val="Comment Text Char"/>
    <w:basedOn w:val="DefaultParagraphFont"/>
    <w:link w:val="CommentText"/>
    <w:rsid w:val="00AE4F95"/>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AE4F95"/>
    <w:rPr>
      <w:b/>
      <w:bCs/>
    </w:rPr>
  </w:style>
  <w:style w:type="character" w:customStyle="1" w:styleId="CommentSubjectChar">
    <w:name w:val="Comment Subject Char"/>
    <w:basedOn w:val="CommentTextChar"/>
    <w:link w:val="CommentSubject"/>
    <w:semiHidden/>
    <w:rsid w:val="00AE4F95"/>
    <w:rPr>
      <w:rFonts w:ascii="Times New Roman" w:eastAsia="Times New Roman" w:hAnsi="Times New Roman" w:cs="Times New Roman"/>
      <w:b/>
      <w:bCs/>
      <w:sz w:val="20"/>
      <w:szCs w:val="20"/>
      <w:lang w:eastAsia="lv-LV"/>
    </w:rPr>
  </w:style>
  <w:style w:type="paragraph" w:customStyle="1" w:styleId="tv2132">
    <w:name w:val="tv2132"/>
    <w:basedOn w:val="Normal"/>
    <w:rsid w:val="00812AA1"/>
    <w:pPr>
      <w:spacing w:after="0" w:line="360" w:lineRule="auto"/>
      <w:ind w:firstLine="300"/>
      <w:jc w:val="left"/>
    </w:pPr>
    <w:rPr>
      <w:color w:val="414142"/>
      <w:sz w:val="20"/>
      <w:szCs w:val="20"/>
    </w:rPr>
  </w:style>
  <w:style w:type="paragraph" w:styleId="NormalWeb">
    <w:name w:val="Normal (Web)"/>
    <w:basedOn w:val="Normal"/>
    <w:uiPriority w:val="99"/>
    <w:unhideWhenUsed/>
    <w:rsid w:val="008400B6"/>
    <w:pPr>
      <w:spacing w:before="100" w:beforeAutospacing="1" w:after="100" w:afterAutospacing="1"/>
      <w:ind w:firstLine="0"/>
      <w:jc w:val="left"/>
    </w:pPr>
  </w:style>
  <w:style w:type="character" w:styleId="Strong">
    <w:name w:val="Strong"/>
    <w:basedOn w:val="DefaultParagraphFont"/>
    <w:uiPriority w:val="22"/>
    <w:qFormat/>
    <w:rsid w:val="00357BE4"/>
    <w:rPr>
      <w:b/>
      <w:bCs/>
    </w:rPr>
  </w:style>
  <w:style w:type="character" w:styleId="FollowedHyperlink">
    <w:name w:val="FollowedHyperlink"/>
    <w:basedOn w:val="DefaultParagraphFont"/>
    <w:uiPriority w:val="99"/>
    <w:semiHidden/>
    <w:unhideWhenUsed/>
    <w:rsid w:val="00357BE4"/>
    <w:rPr>
      <w:color w:val="800080" w:themeColor="followedHyperlink"/>
      <w:u w:val="single"/>
    </w:rPr>
  </w:style>
  <w:style w:type="paragraph" w:styleId="List">
    <w:name w:val="List"/>
    <w:basedOn w:val="BodyText"/>
    <w:rsid w:val="003B1D23"/>
    <w:pPr>
      <w:suppressAutoHyphens/>
      <w:spacing w:after="0"/>
      <w:ind w:firstLine="0"/>
    </w:pPr>
    <w:rPr>
      <w:rFonts w:cs="Tahoma"/>
      <w:lang w:eastAsia="ar-SA"/>
    </w:rPr>
  </w:style>
  <w:style w:type="paragraph" w:styleId="BodyText">
    <w:name w:val="Body Text"/>
    <w:basedOn w:val="Normal"/>
    <w:link w:val="BodyTextChar"/>
    <w:uiPriority w:val="99"/>
    <w:semiHidden/>
    <w:unhideWhenUsed/>
    <w:rsid w:val="003B1D23"/>
  </w:style>
  <w:style w:type="character" w:customStyle="1" w:styleId="BodyTextChar">
    <w:name w:val="Body Text Char"/>
    <w:basedOn w:val="DefaultParagraphFont"/>
    <w:link w:val="BodyText"/>
    <w:uiPriority w:val="99"/>
    <w:semiHidden/>
    <w:rsid w:val="003B1D23"/>
    <w:rPr>
      <w:rFonts w:ascii="Times New Roman" w:eastAsia="Times New Roman" w:hAnsi="Times New Roman" w:cs="Times New Roman"/>
      <w:sz w:val="24"/>
      <w:szCs w:val="24"/>
      <w:lang w:eastAsia="lv-LV"/>
    </w:rPr>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
    <w:basedOn w:val="Normal"/>
    <w:link w:val="FootnoteTextChar"/>
    <w:uiPriority w:val="99"/>
    <w:rsid w:val="00426FB7"/>
    <w:pPr>
      <w:spacing w:after="0"/>
      <w:ind w:firstLine="0"/>
      <w:jc w:val="left"/>
    </w:pPr>
    <w:rPr>
      <w:sz w:val="20"/>
      <w:szCs w:val="20"/>
      <w:lang w:eastAsia="en-US"/>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426FB7"/>
    <w:rPr>
      <w:rFonts w:ascii="Times New Roman" w:eastAsia="Times New Roman" w:hAnsi="Times New Roman"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rsid w:val="00426FB7"/>
    <w:rPr>
      <w:vertAlign w:val="superscript"/>
    </w:rPr>
  </w:style>
  <w:style w:type="paragraph" w:customStyle="1" w:styleId="CharCharCharChar">
    <w:name w:val="Char Char Char Char"/>
    <w:aliases w:val="Char2"/>
    <w:basedOn w:val="Normal"/>
    <w:next w:val="Normal"/>
    <w:link w:val="FootnoteReference"/>
    <w:uiPriority w:val="99"/>
    <w:rsid w:val="00426FB7"/>
    <w:pPr>
      <w:spacing w:after="160" w:line="240" w:lineRule="exact"/>
      <w:ind w:firstLine="0"/>
      <w:textAlignment w:val="baseline"/>
    </w:pPr>
    <w:rPr>
      <w:rFonts w:asciiTheme="minorHAnsi" w:eastAsiaTheme="minorHAnsi" w:hAnsiTheme="minorHAnsi" w:cstheme="minorBidi"/>
      <w:sz w:val="22"/>
      <w:szCs w:val="22"/>
      <w:vertAlign w:val="superscript"/>
      <w:lang w:eastAsia="en-US"/>
    </w:rPr>
  </w:style>
  <w:style w:type="paragraph" w:styleId="Revision">
    <w:name w:val="Revision"/>
    <w:hidden/>
    <w:uiPriority w:val="99"/>
    <w:semiHidden/>
    <w:rsid w:val="001626CA"/>
    <w:pPr>
      <w:spacing w:after="0" w:line="240" w:lineRule="auto"/>
    </w:pPr>
    <w:rPr>
      <w:rFonts w:ascii="Times New Roman" w:eastAsia="Times New Roman" w:hAnsi="Times New Roman" w:cs="Times New Roman"/>
      <w:sz w:val="24"/>
      <w:szCs w:val="24"/>
      <w:lang w:eastAsia="lv-LV"/>
    </w:rPr>
  </w:style>
  <w:style w:type="paragraph" w:styleId="BodyTextIndent">
    <w:name w:val="Body Text Indent"/>
    <w:basedOn w:val="Normal"/>
    <w:link w:val="BodyTextIndentChar"/>
    <w:uiPriority w:val="99"/>
    <w:semiHidden/>
    <w:unhideWhenUsed/>
    <w:rsid w:val="00EB094C"/>
    <w:pPr>
      <w:ind w:left="283"/>
    </w:pPr>
  </w:style>
  <w:style w:type="character" w:customStyle="1" w:styleId="BodyTextIndentChar">
    <w:name w:val="Body Text Indent Char"/>
    <w:basedOn w:val="DefaultParagraphFont"/>
    <w:link w:val="BodyTextIndent"/>
    <w:uiPriority w:val="99"/>
    <w:semiHidden/>
    <w:rsid w:val="00EB094C"/>
    <w:rPr>
      <w:rFonts w:ascii="Times New Roman" w:eastAsia="Times New Roman" w:hAnsi="Times New Roman" w:cs="Times New Roman"/>
      <w:sz w:val="24"/>
      <w:szCs w:val="24"/>
      <w:lang w:eastAsia="lv-LV"/>
    </w:rPr>
  </w:style>
  <w:style w:type="paragraph" w:customStyle="1" w:styleId="H2">
    <w:name w:val="H2"/>
    <w:link w:val="H2Char"/>
    <w:uiPriority w:val="99"/>
    <w:rsid w:val="002B5F39"/>
    <w:pPr>
      <w:keepNext/>
      <w:tabs>
        <w:tab w:val="left" w:pos="1134"/>
      </w:tabs>
      <w:spacing w:before="480" w:after="240" w:line="240" w:lineRule="auto"/>
      <w:ind w:left="1134" w:hanging="567"/>
      <w:outlineLvl w:val="1"/>
    </w:pPr>
    <w:rPr>
      <w:rFonts w:ascii="Calibri" w:eastAsia="Times New Roman" w:hAnsi="Calibri" w:cs="Times New Roman"/>
      <w:b/>
      <w:sz w:val="32"/>
      <w:szCs w:val="20"/>
    </w:rPr>
  </w:style>
  <w:style w:type="character" w:customStyle="1" w:styleId="H2Char">
    <w:name w:val="H2 Char"/>
    <w:link w:val="H2"/>
    <w:uiPriority w:val="99"/>
    <w:rsid w:val="002B5F39"/>
    <w:rPr>
      <w:rFonts w:ascii="Calibri" w:eastAsia="Times New Roman" w:hAnsi="Calibri" w:cs="Times New Roman"/>
      <w:b/>
      <w:sz w:val="32"/>
      <w:szCs w:val="20"/>
    </w:rPr>
  </w:style>
  <w:style w:type="paragraph" w:styleId="NoSpacing">
    <w:name w:val="No Spacing"/>
    <w:aliases w:val="Normal1,No Spacing1,Parastais"/>
    <w:link w:val="NoSpacingChar"/>
    <w:uiPriority w:val="1"/>
    <w:qFormat/>
    <w:rsid w:val="0024687D"/>
    <w:pPr>
      <w:spacing w:after="0" w:line="240" w:lineRule="auto"/>
    </w:pPr>
    <w:rPr>
      <w:rFonts w:eastAsiaTheme="minorEastAsia"/>
    </w:rPr>
  </w:style>
  <w:style w:type="character" w:customStyle="1" w:styleId="NoSpacingChar">
    <w:name w:val="No Spacing Char"/>
    <w:aliases w:val="Normal1 Char,No Spacing1 Char,Parastais Char"/>
    <w:basedOn w:val="DefaultParagraphFont"/>
    <w:link w:val="NoSpacing"/>
    <w:uiPriority w:val="1"/>
    <w:rsid w:val="0024687D"/>
    <w:rPr>
      <w:rFonts w:eastAsiaTheme="minorEastAsia"/>
    </w:rPr>
  </w:style>
  <w:style w:type="paragraph" w:customStyle="1" w:styleId="tv213">
    <w:name w:val="tv213"/>
    <w:basedOn w:val="Normal"/>
    <w:rsid w:val="003F7C48"/>
    <w:pPr>
      <w:spacing w:before="100" w:beforeAutospacing="1" w:after="100" w:afterAutospacing="1"/>
      <w:ind w:firstLine="0"/>
      <w:jc w:val="left"/>
    </w:pPr>
  </w:style>
  <w:style w:type="character" w:customStyle="1" w:styleId="UnresolvedMention1">
    <w:name w:val="Unresolved Mention1"/>
    <w:basedOn w:val="DefaultParagraphFont"/>
    <w:uiPriority w:val="99"/>
    <w:semiHidden/>
    <w:unhideWhenUsed/>
    <w:rsid w:val="00CB7912"/>
    <w:rPr>
      <w:color w:val="605E5C"/>
      <w:shd w:val="clear" w:color="auto" w:fill="E1DFDD"/>
    </w:rPr>
  </w:style>
  <w:style w:type="character" w:customStyle="1" w:styleId="Neatrisintapieminana1">
    <w:name w:val="Neatrisināta pieminēšana1"/>
    <w:basedOn w:val="DefaultParagraphFont"/>
    <w:uiPriority w:val="99"/>
    <w:semiHidden/>
    <w:unhideWhenUsed/>
    <w:rsid w:val="009333D1"/>
    <w:rPr>
      <w:color w:val="605E5C"/>
      <w:shd w:val="clear" w:color="auto" w:fill="E1DFDD"/>
    </w:rPr>
  </w:style>
  <w:style w:type="character" w:styleId="UnresolvedMention">
    <w:name w:val="Unresolved Mention"/>
    <w:basedOn w:val="DefaultParagraphFont"/>
    <w:uiPriority w:val="99"/>
    <w:semiHidden/>
    <w:unhideWhenUsed/>
    <w:rsid w:val="00B37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87973">
      <w:bodyDiv w:val="1"/>
      <w:marLeft w:val="0"/>
      <w:marRight w:val="0"/>
      <w:marTop w:val="0"/>
      <w:marBottom w:val="0"/>
      <w:divBdr>
        <w:top w:val="none" w:sz="0" w:space="0" w:color="auto"/>
        <w:left w:val="none" w:sz="0" w:space="0" w:color="auto"/>
        <w:bottom w:val="none" w:sz="0" w:space="0" w:color="auto"/>
        <w:right w:val="none" w:sz="0" w:space="0" w:color="auto"/>
      </w:divBdr>
    </w:div>
    <w:div w:id="301466530">
      <w:bodyDiv w:val="1"/>
      <w:marLeft w:val="0"/>
      <w:marRight w:val="0"/>
      <w:marTop w:val="0"/>
      <w:marBottom w:val="0"/>
      <w:divBdr>
        <w:top w:val="none" w:sz="0" w:space="0" w:color="auto"/>
        <w:left w:val="none" w:sz="0" w:space="0" w:color="auto"/>
        <w:bottom w:val="none" w:sz="0" w:space="0" w:color="auto"/>
        <w:right w:val="none" w:sz="0" w:space="0" w:color="auto"/>
      </w:divBdr>
    </w:div>
    <w:div w:id="336538416">
      <w:bodyDiv w:val="1"/>
      <w:marLeft w:val="0"/>
      <w:marRight w:val="0"/>
      <w:marTop w:val="0"/>
      <w:marBottom w:val="0"/>
      <w:divBdr>
        <w:top w:val="none" w:sz="0" w:space="0" w:color="auto"/>
        <w:left w:val="none" w:sz="0" w:space="0" w:color="auto"/>
        <w:bottom w:val="none" w:sz="0" w:space="0" w:color="auto"/>
        <w:right w:val="none" w:sz="0" w:space="0" w:color="auto"/>
      </w:divBdr>
      <w:divsChild>
        <w:div w:id="78211720">
          <w:marLeft w:val="0"/>
          <w:marRight w:val="0"/>
          <w:marTop w:val="0"/>
          <w:marBottom w:val="0"/>
          <w:divBdr>
            <w:top w:val="none" w:sz="0" w:space="0" w:color="auto"/>
            <w:left w:val="none" w:sz="0" w:space="0" w:color="auto"/>
            <w:bottom w:val="none" w:sz="0" w:space="0" w:color="auto"/>
            <w:right w:val="none" w:sz="0" w:space="0" w:color="auto"/>
          </w:divBdr>
        </w:div>
      </w:divsChild>
    </w:div>
    <w:div w:id="682249873">
      <w:bodyDiv w:val="1"/>
      <w:marLeft w:val="0"/>
      <w:marRight w:val="0"/>
      <w:marTop w:val="0"/>
      <w:marBottom w:val="0"/>
      <w:divBdr>
        <w:top w:val="none" w:sz="0" w:space="0" w:color="auto"/>
        <w:left w:val="none" w:sz="0" w:space="0" w:color="auto"/>
        <w:bottom w:val="none" w:sz="0" w:space="0" w:color="auto"/>
        <w:right w:val="none" w:sz="0" w:space="0" w:color="auto"/>
      </w:divBdr>
      <w:divsChild>
        <w:div w:id="971637151">
          <w:marLeft w:val="0"/>
          <w:marRight w:val="0"/>
          <w:marTop w:val="0"/>
          <w:marBottom w:val="0"/>
          <w:divBdr>
            <w:top w:val="none" w:sz="0" w:space="0" w:color="auto"/>
            <w:left w:val="none" w:sz="0" w:space="0" w:color="auto"/>
            <w:bottom w:val="none" w:sz="0" w:space="0" w:color="auto"/>
            <w:right w:val="none" w:sz="0" w:space="0" w:color="auto"/>
          </w:divBdr>
        </w:div>
      </w:divsChild>
    </w:div>
    <w:div w:id="750663626">
      <w:bodyDiv w:val="1"/>
      <w:marLeft w:val="0"/>
      <w:marRight w:val="0"/>
      <w:marTop w:val="0"/>
      <w:marBottom w:val="0"/>
      <w:divBdr>
        <w:top w:val="none" w:sz="0" w:space="0" w:color="auto"/>
        <w:left w:val="none" w:sz="0" w:space="0" w:color="auto"/>
        <w:bottom w:val="none" w:sz="0" w:space="0" w:color="auto"/>
        <w:right w:val="none" w:sz="0" w:space="0" w:color="auto"/>
      </w:divBdr>
      <w:divsChild>
        <w:div w:id="1102846789">
          <w:marLeft w:val="0"/>
          <w:marRight w:val="0"/>
          <w:marTop w:val="0"/>
          <w:marBottom w:val="0"/>
          <w:divBdr>
            <w:top w:val="none" w:sz="0" w:space="0" w:color="auto"/>
            <w:left w:val="none" w:sz="0" w:space="0" w:color="auto"/>
            <w:bottom w:val="none" w:sz="0" w:space="0" w:color="auto"/>
            <w:right w:val="none" w:sz="0" w:space="0" w:color="auto"/>
          </w:divBdr>
        </w:div>
      </w:divsChild>
    </w:div>
    <w:div w:id="991519595">
      <w:bodyDiv w:val="1"/>
      <w:marLeft w:val="0"/>
      <w:marRight w:val="0"/>
      <w:marTop w:val="0"/>
      <w:marBottom w:val="0"/>
      <w:divBdr>
        <w:top w:val="none" w:sz="0" w:space="0" w:color="auto"/>
        <w:left w:val="none" w:sz="0" w:space="0" w:color="auto"/>
        <w:bottom w:val="none" w:sz="0" w:space="0" w:color="auto"/>
        <w:right w:val="none" w:sz="0" w:space="0" w:color="auto"/>
      </w:divBdr>
    </w:div>
    <w:div w:id="997155840">
      <w:bodyDiv w:val="1"/>
      <w:marLeft w:val="0"/>
      <w:marRight w:val="0"/>
      <w:marTop w:val="0"/>
      <w:marBottom w:val="0"/>
      <w:divBdr>
        <w:top w:val="none" w:sz="0" w:space="0" w:color="auto"/>
        <w:left w:val="none" w:sz="0" w:space="0" w:color="auto"/>
        <w:bottom w:val="none" w:sz="0" w:space="0" w:color="auto"/>
        <w:right w:val="none" w:sz="0" w:space="0" w:color="auto"/>
      </w:divBdr>
      <w:divsChild>
        <w:div w:id="627204808">
          <w:marLeft w:val="0"/>
          <w:marRight w:val="0"/>
          <w:marTop w:val="0"/>
          <w:marBottom w:val="0"/>
          <w:divBdr>
            <w:top w:val="none" w:sz="0" w:space="0" w:color="auto"/>
            <w:left w:val="none" w:sz="0" w:space="0" w:color="auto"/>
            <w:bottom w:val="none" w:sz="0" w:space="0" w:color="auto"/>
            <w:right w:val="none" w:sz="0" w:space="0" w:color="auto"/>
          </w:divBdr>
          <w:divsChild>
            <w:div w:id="281037363">
              <w:marLeft w:val="0"/>
              <w:marRight w:val="0"/>
              <w:marTop w:val="0"/>
              <w:marBottom w:val="0"/>
              <w:divBdr>
                <w:top w:val="none" w:sz="0" w:space="0" w:color="auto"/>
                <w:left w:val="none" w:sz="0" w:space="0" w:color="auto"/>
                <w:bottom w:val="none" w:sz="0" w:space="0" w:color="auto"/>
                <w:right w:val="none" w:sz="0" w:space="0" w:color="auto"/>
              </w:divBdr>
              <w:divsChild>
                <w:div w:id="1559777089">
                  <w:marLeft w:val="0"/>
                  <w:marRight w:val="0"/>
                  <w:marTop w:val="0"/>
                  <w:marBottom w:val="0"/>
                  <w:divBdr>
                    <w:top w:val="none" w:sz="0" w:space="0" w:color="auto"/>
                    <w:left w:val="none" w:sz="0" w:space="0" w:color="auto"/>
                    <w:bottom w:val="none" w:sz="0" w:space="0" w:color="auto"/>
                    <w:right w:val="none" w:sz="0" w:space="0" w:color="auto"/>
                  </w:divBdr>
                  <w:divsChild>
                    <w:div w:id="1636065449">
                      <w:marLeft w:val="0"/>
                      <w:marRight w:val="0"/>
                      <w:marTop w:val="0"/>
                      <w:marBottom w:val="0"/>
                      <w:divBdr>
                        <w:top w:val="none" w:sz="0" w:space="0" w:color="auto"/>
                        <w:left w:val="none" w:sz="0" w:space="0" w:color="auto"/>
                        <w:bottom w:val="none" w:sz="0" w:space="0" w:color="auto"/>
                        <w:right w:val="none" w:sz="0" w:space="0" w:color="auto"/>
                      </w:divBdr>
                      <w:divsChild>
                        <w:div w:id="134958020">
                          <w:marLeft w:val="0"/>
                          <w:marRight w:val="0"/>
                          <w:marTop w:val="0"/>
                          <w:marBottom w:val="0"/>
                          <w:divBdr>
                            <w:top w:val="none" w:sz="0" w:space="0" w:color="auto"/>
                            <w:left w:val="none" w:sz="0" w:space="0" w:color="auto"/>
                            <w:bottom w:val="none" w:sz="0" w:space="0" w:color="auto"/>
                            <w:right w:val="none" w:sz="0" w:space="0" w:color="auto"/>
                          </w:divBdr>
                          <w:divsChild>
                            <w:div w:id="104309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13947">
      <w:bodyDiv w:val="1"/>
      <w:marLeft w:val="0"/>
      <w:marRight w:val="0"/>
      <w:marTop w:val="0"/>
      <w:marBottom w:val="0"/>
      <w:divBdr>
        <w:top w:val="none" w:sz="0" w:space="0" w:color="auto"/>
        <w:left w:val="none" w:sz="0" w:space="0" w:color="auto"/>
        <w:bottom w:val="none" w:sz="0" w:space="0" w:color="auto"/>
        <w:right w:val="none" w:sz="0" w:space="0" w:color="auto"/>
      </w:divBdr>
      <w:divsChild>
        <w:div w:id="1498374933">
          <w:marLeft w:val="0"/>
          <w:marRight w:val="0"/>
          <w:marTop w:val="100"/>
          <w:marBottom w:val="100"/>
          <w:divBdr>
            <w:top w:val="none" w:sz="0" w:space="0" w:color="auto"/>
            <w:left w:val="none" w:sz="0" w:space="0" w:color="auto"/>
            <w:bottom w:val="none" w:sz="0" w:space="0" w:color="auto"/>
            <w:right w:val="none" w:sz="0" w:space="0" w:color="auto"/>
          </w:divBdr>
          <w:divsChild>
            <w:div w:id="1565607136">
              <w:marLeft w:val="0"/>
              <w:marRight w:val="0"/>
              <w:marTop w:val="0"/>
              <w:marBottom w:val="0"/>
              <w:divBdr>
                <w:top w:val="none" w:sz="0" w:space="0" w:color="auto"/>
                <w:left w:val="none" w:sz="0" w:space="0" w:color="auto"/>
                <w:bottom w:val="none" w:sz="0" w:space="0" w:color="auto"/>
                <w:right w:val="none" w:sz="0" w:space="0" w:color="auto"/>
              </w:divBdr>
              <w:divsChild>
                <w:div w:id="2113434975">
                  <w:marLeft w:val="0"/>
                  <w:marRight w:val="0"/>
                  <w:marTop w:val="0"/>
                  <w:marBottom w:val="0"/>
                  <w:divBdr>
                    <w:top w:val="none" w:sz="0" w:space="0" w:color="auto"/>
                    <w:left w:val="none" w:sz="0" w:space="0" w:color="auto"/>
                    <w:bottom w:val="none" w:sz="0" w:space="0" w:color="auto"/>
                    <w:right w:val="none" w:sz="0" w:space="0" w:color="auto"/>
                  </w:divBdr>
                  <w:divsChild>
                    <w:div w:id="1288924831">
                      <w:marLeft w:val="0"/>
                      <w:marRight w:val="0"/>
                      <w:marTop w:val="0"/>
                      <w:marBottom w:val="0"/>
                      <w:divBdr>
                        <w:top w:val="none" w:sz="0" w:space="0" w:color="auto"/>
                        <w:left w:val="none" w:sz="0" w:space="0" w:color="auto"/>
                        <w:bottom w:val="none" w:sz="0" w:space="0" w:color="auto"/>
                        <w:right w:val="none" w:sz="0" w:space="0" w:color="auto"/>
                      </w:divBdr>
                      <w:divsChild>
                        <w:div w:id="1386441611">
                          <w:marLeft w:val="0"/>
                          <w:marRight w:val="0"/>
                          <w:marTop w:val="0"/>
                          <w:marBottom w:val="0"/>
                          <w:divBdr>
                            <w:top w:val="none" w:sz="0" w:space="0" w:color="auto"/>
                            <w:left w:val="none" w:sz="0" w:space="0" w:color="auto"/>
                            <w:bottom w:val="none" w:sz="0" w:space="0" w:color="auto"/>
                            <w:right w:val="none" w:sz="0" w:space="0" w:color="auto"/>
                          </w:divBdr>
                          <w:divsChild>
                            <w:div w:id="1320380048">
                              <w:marLeft w:val="0"/>
                              <w:marRight w:val="0"/>
                              <w:marTop w:val="0"/>
                              <w:marBottom w:val="0"/>
                              <w:divBdr>
                                <w:top w:val="none" w:sz="0" w:space="0" w:color="auto"/>
                                <w:left w:val="none" w:sz="0" w:space="0" w:color="auto"/>
                                <w:bottom w:val="none" w:sz="0" w:space="0" w:color="auto"/>
                                <w:right w:val="none" w:sz="0" w:space="0" w:color="auto"/>
                              </w:divBdr>
                              <w:divsChild>
                                <w:div w:id="845218408">
                                  <w:marLeft w:val="0"/>
                                  <w:marRight w:val="0"/>
                                  <w:marTop w:val="0"/>
                                  <w:marBottom w:val="0"/>
                                  <w:divBdr>
                                    <w:top w:val="none" w:sz="0" w:space="0" w:color="auto"/>
                                    <w:left w:val="none" w:sz="0" w:space="0" w:color="auto"/>
                                    <w:bottom w:val="none" w:sz="0" w:space="0" w:color="auto"/>
                                    <w:right w:val="none" w:sz="0" w:space="0" w:color="auto"/>
                                  </w:divBdr>
                                  <w:divsChild>
                                    <w:div w:id="968706294">
                                      <w:marLeft w:val="0"/>
                                      <w:marRight w:val="0"/>
                                      <w:marTop w:val="0"/>
                                      <w:marBottom w:val="150"/>
                                      <w:divBdr>
                                        <w:top w:val="none" w:sz="0" w:space="0" w:color="auto"/>
                                        <w:left w:val="none" w:sz="0" w:space="0" w:color="auto"/>
                                        <w:bottom w:val="none" w:sz="0" w:space="0" w:color="auto"/>
                                        <w:right w:val="none" w:sz="0" w:space="0" w:color="auto"/>
                                      </w:divBdr>
                                      <w:divsChild>
                                        <w:div w:id="1456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300262">
      <w:bodyDiv w:val="1"/>
      <w:marLeft w:val="0"/>
      <w:marRight w:val="0"/>
      <w:marTop w:val="0"/>
      <w:marBottom w:val="0"/>
      <w:divBdr>
        <w:top w:val="none" w:sz="0" w:space="0" w:color="auto"/>
        <w:left w:val="none" w:sz="0" w:space="0" w:color="auto"/>
        <w:bottom w:val="none" w:sz="0" w:space="0" w:color="auto"/>
        <w:right w:val="none" w:sz="0" w:space="0" w:color="auto"/>
      </w:divBdr>
      <w:divsChild>
        <w:div w:id="67731263">
          <w:marLeft w:val="0"/>
          <w:marRight w:val="0"/>
          <w:marTop w:val="0"/>
          <w:marBottom w:val="0"/>
          <w:divBdr>
            <w:top w:val="none" w:sz="0" w:space="0" w:color="auto"/>
            <w:left w:val="none" w:sz="0" w:space="0" w:color="auto"/>
            <w:bottom w:val="none" w:sz="0" w:space="0" w:color="auto"/>
            <w:right w:val="none" w:sz="0" w:space="0" w:color="auto"/>
          </w:divBdr>
          <w:divsChild>
            <w:div w:id="742483488">
              <w:marLeft w:val="0"/>
              <w:marRight w:val="0"/>
              <w:marTop w:val="0"/>
              <w:marBottom w:val="0"/>
              <w:divBdr>
                <w:top w:val="none" w:sz="0" w:space="0" w:color="auto"/>
                <w:left w:val="none" w:sz="0" w:space="0" w:color="auto"/>
                <w:bottom w:val="none" w:sz="0" w:space="0" w:color="auto"/>
                <w:right w:val="none" w:sz="0" w:space="0" w:color="auto"/>
              </w:divBdr>
              <w:divsChild>
                <w:div w:id="1612055860">
                  <w:marLeft w:val="0"/>
                  <w:marRight w:val="0"/>
                  <w:marTop w:val="0"/>
                  <w:marBottom w:val="0"/>
                  <w:divBdr>
                    <w:top w:val="none" w:sz="0" w:space="0" w:color="auto"/>
                    <w:left w:val="none" w:sz="0" w:space="0" w:color="auto"/>
                    <w:bottom w:val="none" w:sz="0" w:space="0" w:color="auto"/>
                    <w:right w:val="none" w:sz="0" w:space="0" w:color="auto"/>
                  </w:divBdr>
                  <w:divsChild>
                    <w:div w:id="493492305">
                      <w:marLeft w:val="0"/>
                      <w:marRight w:val="0"/>
                      <w:marTop w:val="0"/>
                      <w:marBottom w:val="0"/>
                      <w:divBdr>
                        <w:top w:val="none" w:sz="0" w:space="0" w:color="auto"/>
                        <w:left w:val="none" w:sz="0" w:space="0" w:color="auto"/>
                        <w:bottom w:val="none" w:sz="0" w:space="0" w:color="auto"/>
                        <w:right w:val="none" w:sz="0" w:space="0" w:color="auto"/>
                      </w:divBdr>
                      <w:divsChild>
                        <w:div w:id="1162115726">
                          <w:marLeft w:val="0"/>
                          <w:marRight w:val="0"/>
                          <w:marTop w:val="0"/>
                          <w:marBottom w:val="0"/>
                          <w:divBdr>
                            <w:top w:val="none" w:sz="0" w:space="0" w:color="auto"/>
                            <w:left w:val="none" w:sz="0" w:space="0" w:color="auto"/>
                            <w:bottom w:val="none" w:sz="0" w:space="0" w:color="auto"/>
                            <w:right w:val="none" w:sz="0" w:space="0" w:color="auto"/>
                          </w:divBdr>
                          <w:divsChild>
                            <w:div w:id="980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814084">
      <w:bodyDiv w:val="1"/>
      <w:marLeft w:val="0"/>
      <w:marRight w:val="0"/>
      <w:marTop w:val="0"/>
      <w:marBottom w:val="0"/>
      <w:divBdr>
        <w:top w:val="none" w:sz="0" w:space="0" w:color="auto"/>
        <w:left w:val="none" w:sz="0" w:space="0" w:color="auto"/>
        <w:bottom w:val="none" w:sz="0" w:space="0" w:color="auto"/>
        <w:right w:val="none" w:sz="0" w:space="0" w:color="auto"/>
      </w:divBdr>
    </w:div>
    <w:div w:id="1900894202">
      <w:bodyDiv w:val="1"/>
      <w:marLeft w:val="0"/>
      <w:marRight w:val="0"/>
      <w:marTop w:val="0"/>
      <w:marBottom w:val="0"/>
      <w:divBdr>
        <w:top w:val="none" w:sz="0" w:space="0" w:color="auto"/>
        <w:left w:val="none" w:sz="0" w:space="0" w:color="auto"/>
        <w:bottom w:val="none" w:sz="0" w:space="0" w:color="auto"/>
        <w:right w:val="none" w:sz="0" w:space="0" w:color="auto"/>
      </w:divBdr>
    </w:div>
    <w:div w:id="2075198173">
      <w:bodyDiv w:val="1"/>
      <w:marLeft w:val="0"/>
      <w:marRight w:val="0"/>
      <w:marTop w:val="0"/>
      <w:marBottom w:val="0"/>
      <w:divBdr>
        <w:top w:val="none" w:sz="0" w:space="0" w:color="auto"/>
        <w:left w:val="none" w:sz="0" w:space="0" w:color="auto"/>
        <w:bottom w:val="none" w:sz="0" w:space="0" w:color="auto"/>
        <w:right w:val="none" w:sz="0" w:space="0" w:color="auto"/>
      </w:divBdr>
      <w:divsChild>
        <w:div w:id="2047481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fm.gov.lv/lv/fiskali-strukturalais-plans" TargetMode="External"/><Relationship Id="rId1" Type="http://schemas.openxmlformats.org/officeDocument/2006/relationships/hyperlink" Target="https://ec.europa.eu/eurostat/databrowser/explore/all/t_economy?lang=en&amp;display=list&amp;sort=categ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1a6e61-7d6a-46fb-8a1a-b21c5052d0b4">
      <Terms xmlns="http://schemas.microsoft.com/office/infopath/2007/PartnerControls"/>
    </lcf76f155ced4ddcb4097134ff3c332f>
    <TaxCatchAll xmlns="e7a442c8-ab92-46d0-b193-dfe8ef38105b" xsi:nil="true"/>
    <Datums_x002f_laiks xmlns="e91a6e61-7d6a-46fb-8a1a-b21c5052d0b4" xsi:nil="true"/>
    <apraksts xmlns="e91a6e61-7d6a-46fb-8a1a-b21c5052d0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E5452F664C6504FBC7CEE7C12B19202" ma:contentTypeVersion="18" ma:contentTypeDescription="Create a new document." ma:contentTypeScope="" ma:versionID="75131eff3e4bc2017084f66143bf8769">
  <xsd:schema xmlns:xsd="http://www.w3.org/2001/XMLSchema" xmlns:xs="http://www.w3.org/2001/XMLSchema" xmlns:p="http://schemas.microsoft.com/office/2006/metadata/properties" xmlns:ns2="e91a6e61-7d6a-46fb-8a1a-b21c5052d0b4" xmlns:ns3="e7a442c8-ab92-46d0-b193-dfe8ef38105b" targetNamespace="http://schemas.microsoft.com/office/2006/metadata/properties" ma:root="true" ma:fieldsID="05e83c1adf289270313caf586ae4ce59" ns2:_="" ns3:_="">
    <xsd:import namespace="e91a6e61-7d6a-46fb-8a1a-b21c5052d0b4"/>
    <xsd:import namespace="e7a442c8-ab92-46d0-b193-dfe8ef38105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Location" minOccurs="0"/>
                <xsd:element ref="ns2:apraksts" minOccurs="0"/>
                <xsd:element ref="ns2:MediaServiceObjectDetectorVersions" minOccurs="0"/>
                <xsd:element ref="ns2:MediaServiceSearchProperties" minOccurs="0"/>
                <xsd:element ref="ns2:Datums_x002f_lai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1a6e61-7d6a-46fb-8a1a-b21c5052d0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e43cfc2-2e43-49f2-b9e2-ff77238c7318"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apraksts" ma:index="22" nillable="true" ma:displayName="apraksts" ma:format="Dropdown" ma:internalName="aprakst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ums_x002f_laiks" ma:index="25" nillable="true" ma:displayName="Datums/laiks" ma:description="Izveidošanas laiks" ma:format="DateOnly" ma:internalName="Datums_x002f_laik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7a442c8-ab92-46d0-b193-dfe8ef38105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551608f-4f63-40db-bc92-531cbd42676c}" ma:internalName="TaxCatchAll" ma:showField="CatchAllData" ma:web="e7a442c8-ab92-46d0-b193-dfe8ef38105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3D0B5C-ABC8-4BF6-9402-C96A4F549EF4}">
  <ds:schemaRefs>
    <ds:schemaRef ds:uri="http://schemas.microsoft.com/office/2006/metadata/properties"/>
    <ds:schemaRef ds:uri="http://schemas.microsoft.com/office/infopath/2007/PartnerControls"/>
    <ds:schemaRef ds:uri="e91a6e61-7d6a-46fb-8a1a-b21c5052d0b4"/>
    <ds:schemaRef ds:uri="e7a442c8-ab92-46d0-b193-dfe8ef38105b"/>
  </ds:schemaRefs>
</ds:datastoreItem>
</file>

<file path=customXml/itemProps2.xml><?xml version="1.0" encoding="utf-8"?>
<ds:datastoreItem xmlns:ds="http://schemas.openxmlformats.org/officeDocument/2006/customXml" ds:itemID="{DB5763A3-9742-4411-BB97-F48982803FFF}">
  <ds:schemaRefs>
    <ds:schemaRef ds:uri="http://schemas.microsoft.com/sharepoint/v3/contenttype/forms"/>
  </ds:schemaRefs>
</ds:datastoreItem>
</file>

<file path=customXml/itemProps3.xml><?xml version="1.0" encoding="utf-8"?>
<ds:datastoreItem xmlns:ds="http://schemas.openxmlformats.org/officeDocument/2006/customXml" ds:itemID="{AA606672-706F-4135-BCC2-9F61AB1EA657}">
  <ds:schemaRefs>
    <ds:schemaRef ds:uri="http://schemas.openxmlformats.org/officeDocument/2006/bibliography"/>
  </ds:schemaRefs>
</ds:datastoreItem>
</file>

<file path=customXml/itemProps4.xml><?xml version="1.0" encoding="utf-8"?>
<ds:datastoreItem xmlns:ds="http://schemas.openxmlformats.org/officeDocument/2006/customXml" ds:itemID="{93823021-1CC5-4F70-969F-214FDF90B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1a6e61-7d6a-46fb-8a1a-b21c5052d0b4"/>
    <ds:schemaRef ds:uri="e7a442c8-ab92-46d0-b193-dfe8ef381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4</Pages>
  <Words>8442</Words>
  <Characters>4813</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Latvijas Republikas konsolidētais 2023. gada pārskats</vt:lpstr>
    </vt:vector>
  </TitlesOfParts>
  <Company>Valsts kase</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2023. gada pārskats</dc:title>
  <dc:subject>Ziņojums</dc:subject>
  <dc:creator>Atbildīgā amatpersona: Vineta Parfenkova;67094248;Vineta.Parfenkova@kase.gov.lv</dc:creator>
  <cp:keywords/>
  <dc:description/>
  <cp:lastModifiedBy>Sandija Krūmiņa</cp:lastModifiedBy>
  <cp:revision>13</cp:revision>
  <cp:lastPrinted>2024-07-15T02:12:00Z</cp:lastPrinted>
  <dcterms:created xsi:type="dcterms:W3CDTF">2025-05-10T11:28:00Z</dcterms:created>
  <dcterms:modified xsi:type="dcterms:W3CDTF">2025-07-16T12:44:00Z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0x010100BE5452F664C6504FBC7CEE7C12B19202</vt:lpwstr>
  </property>
  <property fmtid="{D5CDD505-2E9C-101B-9397-08002B2CF9AE}" pid="3" name="MediaServiceImageTags">
    <vt:lpwstr/>
  </property>
</Properties>
</file>