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E968" w14:textId="380282B1" w:rsidR="001E082A" w:rsidRPr="00D613A6" w:rsidRDefault="001E082A" w:rsidP="001E082A">
      <w:pPr>
        <w:pStyle w:val="Title"/>
        <w:rPr>
          <w:rFonts w:cs="Times New Roman"/>
          <w:color w:val="17365D"/>
        </w:rPr>
      </w:pPr>
      <w:r w:rsidRPr="00D613A6">
        <w:rPr>
          <w:rFonts w:cs="Times New Roman"/>
          <w:noProof w:val="0"/>
          <w:color w:val="17365D"/>
        </w:rPr>
        <w:t xml:space="preserve">Skaidrojums par </w:t>
      </w:r>
      <w:r w:rsidR="0041142B" w:rsidRPr="00D613A6">
        <w:rPr>
          <w:rFonts w:cs="Times New Roman"/>
          <w:noProof w:val="0"/>
          <w:color w:val="17365D"/>
        </w:rPr>
        <w:t>konsolidēto valsts budžeta izpildi</w:t>
      </w:r>
    </w:p>
    <w:p w14:paraId="21A73BCF" w14:textId="0FEF8DC0" w:rsidR="001E082A" w:rsidRPr="00D613A6" w:rsidRDefault="001E082A" w:rsidP="001E082A">
      <w:pPr>
        <w:pStyle w:val="Heading1"/>
        <w:rPr>
          <w:rFonts w:cs="Times New Roman"/>
          <w:noProof w:val="0"/>
          <w:color w:val="17365D"/>
        </w:rPr>
      </w:pPr>
      <w:r w:rsidRPr="00D613A6">
        <w:rPr>
          <w:rFonts w:cs="Times New Roman"/>
          <w:noProof w:val="0"/>
          <w:color w:val="17365D"/>
        </w:rPr>
        <w:t>Vispārīgie principi</w:t>
      </w:r>
    </w:p>
    <w:p w14:paraId="0A588F55" w14:textId="641270D7" w:rsidR="002E01F2" w:rsidRPr="00D613A6" w:rsidRDefault="00CD3F02" w:rsidP="002E01F2">
      <w:pPr>
        <w:pStyle w:val="Pamatteksts1"/>
        <w:rPr>
          <w:noProof w:val="0"/>
          <w:color w:val="17365D"/>
        </w:rPr>
      </w:pPr>
      <w:r w:rsidRPr="00D613A6">
        <w:rPr>
          <w:noProof w:val="0"/>
          <w:color w:val="17365D"/>
        </w:rPr>
        <w:t xml:space="preserve">Valsts pamatbudžeta un speciālā </w:t>
      </w:r>
      <w:r w:rsidRPr="00D613A6">
        <w:rPr>
          <w:iCs/>
          <w:noProof w:val="0"/>
          <w:color w:val="17365D"/>
        </w:rPr>
        <w:t>budžeta izpildes pārskats sagatavots atbilstoši</w:t>
      </w:r>
      <w:r w:rsidR="000F3747" w:rsidRPr="00D613A6">
        <w:rPr>
          <w:noProof w:val="0"/>
          <w:color w:val="17365D"/>
        </w:rPr>
        <w:t xml:space="preserve"> likuma “Par valsts budžetu 2024. gadam un budžeta ietvaru 2024., 2025. un 2026</w:t>
      </w:r>
      <w:r w:rsidRPr="00D613A6">
        <w:rPr>
          <w:noProof w:val="0"/>
          <w:color w:val="17365D"/>
        </w:rPr>
        <w:t>. gadam”</w:t>
      </w:r>
      <w:r w:rsidR="00CE197F" w:rsidRPr="00D613A6">
        <w:rPr>
          <w:noProof w:val="0"/>
          <w:color w:val="17365D"/>
        </w:rPr>
        <w:t xml:space="preserve"> II.</w:t>
      </w:r>
      <w:r w:rsidR="007B722C" w:rsidRPr="00D613A6">
        <w:rPr>
          <w:noProof w:val="0"/>
          <w:color w:val="17365D"/>
        </w:rPr>
        <w:t xml:space="preserve"> </w:t>
      </w:r>
      <w:r w:rsidR="00CE197F" w:rsidRPr="00D613A6">
        <w:rPr>
          <w:noProof w:val="0"/>
          <w:color w:val="17365D"/>
        </w:rPr>
        <w:t>nodaļ</w:t>
      </w:r>
      <w:r w:rsidR="00E53AE1" w:rsidRPr="00D613A6">
        <w:rPr>
          <w:noProof w:val="0"/>
          <w:color w:val="17365D"/>
        </w:rPr>
        <w:t>ai</w:t>
      </w:r>
      <w:r w:rsidR="00CE197F" w:rsidRPr="00D613A6">
        <w:rPr>
          <w:noProof w:val="0"/>
          <w:color w:val="17365D"/>
        </w:rPr>
        <w:t xml:space="preserve"> “Valst</w:t>
      </w:r>
      <w:r w:rsidR="000F3747" w:rsidRPr="00D613A6">
        <w:rPr>
          <w:noProof w:val="0"/>
          <w:color w:val="17365D"/>
        </w:rPr>
        <w:t>s budžets 2024</w:t>
      </w:r>
      <w:r w:rsidR="00CE197F" w:rsidRPr="00D613A6">
        <w:rPr>
          <w:noProof w:val="0"/>
          <w:color w:val="17365D"/>
        </w:rPr>
        <w:t>. gadam”</w:t>
      </w:r>
      <w:r w:rsidR="002E01F2" w:rsidRPr="00D613A6">
        <w:rPr>
          <w:noProof w:val="0"/>
          <w:color w:val="17365D"/>
        </w:rPr>
        <w:t xml:space="preserve"> (turpmāk – Likums)</w:t>
      </w:r>
      <w:r w:rsidR="00235D03" w:rsidRPr="00D613A6">
        <w:rPr>
          <w:noProof w:val="0"/>
          <w:color w:val="17365D"/>
        </w:rPr>
        <w:t xml:space="preserve"> un </w:t>
      </w:r>
      <w:r w:rsidR="005F11B2" w:rsidRPr="00D613A6">
        <w:rPr>
          <w:noProof w:val="0"/>
          <w:color w:val="17365D"/>
        </w:rPr>
        <w:t xml:space="preserve"> </w:t>
      </w:r>
      <w:r w:rsidR="002E01F2" w:rsidRPr="00D613A6">
        <w:rPr>
          <w:noProof w:val="0"/>
          <w:color w:val="17365D"/>
        </w:rPr>
        <w:t>atbilstoši</w:t>
      </w:r>
      <w:r w:rsidR="002E01F2" w:rsidRPr="00D613A6">
        <w:rPr>
          <w:iCs/>
          <w:noProof w:val="0"/>
          <w:color w:val="17365D"/>
        </w:rPr>
        <w:t xml:space="preserve"> </w:t>
      </w:r>
      <w:r w:rsidR="002E01F2" w:rsidRPr="00D613A6">
        <w:rPr>
          <w:noProof w:val="0"/>
          <w:color w:val="17365D"/>
        </w:rPr>
        <w:t>Likum</w:t>
      </w:r>
      <w:r w:rsidR="00935363" w:rsidRPr="00D613A6">
        <w:rPr>
          <w:noProof w:val="0"/>
          <w:color w:val="17365D"/>
        </w:rPr>
        <w:t>ā</w:t>
      </w:r>
      <w:r w:rsidR="002E01F2" w:rsidRPr="00D613A6">
        <w:rPr>
          <w:noProof w:val="0"/>
          <w:color w:val="17365D"/>
        </w:rPr>
        <w:t xml:space="preserve"> par budžetu un finanšu vadību</w:t>
      </w:r>
      <w:r w:rsidR="00935363" w:rsidRPr="00D613A6">
        <w:rPr>
          <w:noProof w:val="0"/>
          <w:color w:val="17365D"/>
        </w:rPr>
        <w:t xml:space="preserve"> noteiktajam</w:t>
      </w:r>
      <w:r w:rsidR="002E01F2" w:rsidRPr="00D613A6">
        <w:rPr>
          <w:noProof w:val="0"/>
          <w:color w:val="17365D"/>
        </w:rPr>
        <w:t xml:space="preserve">. Pārskatā uzrādīta </w:t>
      </w:r>
      <w:r w:rsidR="002E01F2" w:rsidRPr="00D613A6">
        <w:rPr>
          <w:iCs/>
          <w:noProof w:val="0"/>
          <w:color w:val="17365D"/>
        </w:rPr>
        <w:t>valsts budžeta, no valsts budžeta daļēji finansētu atvasinātu publisku personu un budžeta nefinansētu iestāžu budžetu izpilde</w:t>
      </w:r>
      <w:r w:rsidR="002E01F2" w:rsidRPr="00D613A6">
        <w:rPr>
          <w:noProof w:val="0"/>
          <w:color w:val="17365D"/>
        </w:rPr>
        <w:t xml:space="preserve"> 20</w:t>
      </w:r>
      <w:r w:rsidR="00D87027" w:rsidRPr="00D613A6">
        <w:rPr>
          <w:noProof w:val="0"/>
          <w:color w:val="17365D"/>
        </w:rPr>
        <w:t>2</w:t>
      </w:r>
      <w:r w:rsidR="000F3747" w:rsidRPr="00D613A6">
        <w:rPr>
          <w:noProof w:val="0"/>
          <w:color w:val="17365D"/>
        </w:rPr>
        <w:t>4</w:t>
      </w:r>
      <w:r w:rsidR="002E01F2" w:rsidRPr="00D613A6">
        <w:rPr>
          <w:noProof w:val="0"/>
          <w:color w:val="17365D"/>
        </w:rPr>
        <w:t>. gadā (turpmāk –</w:t>
      </w:r>
      <w:r w:rsidR="009857FA" w:rsidRPr="00D613A6">
        <w:rPr>
          <w:noProof w:val="0"/>
          <w:color w:val="17365D"/>
        </w:rPr>
        <w:t xml:space="preserve"> </w:t>
      </w:r>
      <w:r w:rsidR="00AB1275" w:rsidRPr="00D613A6">
        <w:rPr>
          <w:noProof w:val="0"/>
          <w:color w:val="17365D"/>
        </w:rPr>
        <w:t>valsts budžets).</w:t>
      </w:r>
    </w:p>
    <w:p w14:paraId="63BE3545" w14:textId="33A452CE" w:rsidR="00C84BED" w:rsidRPr="00D613A6" w:rsidRDefault="00C84BED" w:rsidP="008F2503">
      <w:pPr>
        <w:pStyle w:val="Pamatteksts1"/>
        <w:rPr>
          <w:noProof w:val="0"/>
          <w:color w:val="17365D"/>
        </w:rPr>
      </w:pPr>
      <w:r w:rsidRPr="00D613A6">
        <w:rPr>
          <w:noProof w:val="0"/>
          <w:color w:val="17365D"/>
        </w:rPr>
        <w:t>Pārskatu par valsts budžeta, no valsts budžeta daļēji finansētu atvasinātu publisku personu un budžeta nefina</w:t>
      </w:r>
      <w:r w:rsidR="006A2558" w:rsidRPr="00D613A6">
        <w:rPr>
          <w:noProof w:val="0"/>
          <w:color w:val="17365D"/>
        </w:rPr>
        <w:t>n</w:t>
      </w:r>
      <w:r w:rsidRPr="00D613A6">
        <w:rPr>
          <w:noProof w:val="0"/>
          <w:color w:val="17365D"/>
        </w:rPr>
        <w:t>sētu iestāžu budžet</w:t>
      </w:r>
      <w:r w:rsidR="005F11B2" w:rsidRPr="00D613A6">
        <w:rPr>
          <w:noProof w:val="0"/>
          <w:color w:val="17365D"/>
        </w:rPr>
        <w:t>a</w:t>
      </w:r>
      <w:r w:rsidRPr="00D613A6">
        <w:rPr>
          <w:noProof w:val="0"/>
          <w:color w:val="17365D"/>
        </w:rPr>
        <w:t xml:space="preserve"> izpildi </w:t>
      </w:r>
      <w:r w:rsidR="00170F87" w:rsidRPr="00D613A6">
        <w:rPr>
          <w:noProof w:val="0"/>
          <w:color w:val="17365D"/>
        </w:rPr>
        <w:t xml:space="preserve">(turpmāk – pārskats) </w:t>
      </w:r>
      <w:r w:rsidRPr="00D613A6">
        <w:rPr>
          <w:noProof w:val="0"/>
          <w:color w:val="17365D"/>
        </w:rPr>
        <w:t xml:space="preserve">veido, apkopojot un konsolidējot ministriju un </w:t>
      </w:r>
      <w:r w:rsidR="003A1253" w:rsidRPr="00D613A6">
        <w:rPr>
          <w:noProof w:val="0"/>
          <w:color w:val="17365D"/>
        </w:rPr>
        <w:t xml:space="preserve">citu </w:t>
      </w:r>
      <w:r w:rsidRPr="00D613A6">
        <w:rPr>
          <w:noProof w:val="0"/>
          <w:color w:val="17365D"/>
        </w:rPr>
        <w:t>centrālo valsts iestāžu</w:t>
      </w:r>
      <w:r w:rsidR="00D5761A" w:rsidRPr="00D613A6">
        <w:rPr>
          <w:noProof w:val="0"/>
          <w:color w:val="17365D"/>
        </w:rPr>
        <w:t xml:space="preserve"> sagatavotos</w:t>
      </w:r>
      <w:r w:rsidRPr="00D613A6">
        <w:rPr>
          <w:noProof w:val="0"/>
          <w:color w:val="17365D"/>
        </w:rPr>
        <w:t xml:space="preserve"> budžeta izpildes pārskatus. </w:t>
      </w:r>
      <w:r w:rsidR="007A5333" w:rsidRPr="00D613A6">
        <w:rPr>
          <w:noProof w:val="0"/>
          <w:color w:val="17365D"/>
        </w:rPr>
        <w:t xml:space="preserve">Pārskati sagatavoti atbilstoši naudas plūsmas principam un </w:t>
      </w:r>
      <w:r w:rsidR="00302DF4" w:rsidRPr="00D613A6">
        <w:rPr>
          <w:noProof w:val="0"/>
          <w:color w:val="17365D"/>
        </w:rPr>
        <w:t>tajos</w:t>
      </w:r>
      <w:r w:rsidR="007A5333" w:rsidRPr="00D613A6">
        <w:rPr>
          <w:noProof w:val="0"/>
          <w:color w:val="17365D"/>
        </w:rPr>
        <w:t xml:space="preserve"> apkopota informācija par </w:t>
      </w:r>
      <w:r w:rsidR="000F3747" w:rsidRPr="00D613A6">
        <w:rPr>
          <w:noProof w:val="0"/>
          <w:color w:val="17365D"/>
        </w:rPr>
        <w:t>2024</w:t>
      </w:r>
      <w:r w:rsidR="003010D6" w:rsidRPr="00D613A6">
        <w:rPr>
          <w:noProof w:val="0"/>
          <w:color w:val="17365D"/>
        </w:rPr>
        <w:t>. </w:t>
      </w:r>
      <w:r w:rsidR="007A5333" w:rsidRPr="00D613A6">
        <w:rPr>
          <w:noProof w:val="0"/>
          <w:color w:val="17365D"/>
        </w:rPr>
        <w:t>gada ieņēmumiem, izdevumiem</w:t>
      </w:r>
      <w:r w:rsidR="00935363" w:rsidRPr="00D613A6">
        <w:rPr>
          <w:noProof w:val="0"/>
          <w:color w:val="17365D"/>
        </w:rPr>
        <w:t xml:space="preserve"> atbilstoši ekonomiskajām un </w:t>
      </w:r>
      <w:r w:rsidR="00465888" w:rsidRPr="00D613A6">
        <w:rPr>
          <w:color w:val="17365D"/>
        </w:rPr>
        <w:t>funkcionālajām kategorijām</w:t>
      </w:r>
      <w:r w:rsidR="007A5333" w:rsidRPr="00D613A6">
        <w:rPr>
          <w:noProof w:val="0"/>
          <w:color w:val="17365D"/>
        </w:rPr>
        <w:t xml:space="preserve"> un budžeta finansēšanu. </w:t>
      </w:r>
    </w:p>
    <w:p w14:paraId="3C02B9F6" w14:textId="34033463" w:rsidR="002E01F2" w:rsidRPr="00D613A6" w:rsidRDefault="002E01F2" w:rsidP="002E01F2">
      <w:pPr>
        <w:pStyle w:val="Pamatteksts1"/>
        <w:rPr>
          <w:noProof w:val="0"/>
          <w:color w:val="17365D"/>
        </w:rPr>
      </w:pPr>
      <w:r w:rsidRPr="00D613A6">
        <w:rPr>
          <w:noProof w:val="0"/>
          <w:color w:val="17365D"/>
        </w:rPr>
        <w:t>Pārskatos sniegtai informācijai par valsts pamatbudžetu, valsts speciālo budžetu, no valsts budžeta daļēji finansētu atvasinātu publisku personu budžetu un budžeta nefinansētu iestāžu pamatdarbības</w:t>
      </w:r>
      <w:r w:rsidR="007E75F3" w:rsidRPr="00D613A6">
        <w:rPr>
          <w:noProof w:val="0"/>
          <w:color w:val="17365D"/>
        </w:rPr>
        <w:t xml:space="preserve"> budžeta</w:t>
      </w:r>
      <w:r w:rsidRPr="00D613A6">
        <w:rPr>
          <w:noProof w:val="0"/>
          <w:color w:val="17365D"/>
        </w:rPr>
        <w:t xml:space="preserve"> izpildi un ziedojumiem un dāvinājumiem </w:t>
      </w:r>
      <w:r w:rsidRPr="00D613A6">
        <w:rPr>
          <w:color w:val="17365D"/>
        </w:rPr>
        <w:t>noteikts būtiskuma līmenis</w:t>
      </w:r>
      <w:r w:rsidR="007E7D4A" w:rsidRPr="00D613A6">
        <w:rPr>
          <w:color w:val="17365D"/>
        </w:rPr>
        <w:t xml:space="preserve"> </w:t>
      </w:r>
      <w:r w:rsidR="00715AE8" w:rsidRPr="00D613A6">
        <w:rPr>
          <w:b/>
          <w:color w:val="17365D"/>
        </w:rPr>
        <w:t>75</w:t>
      </w:r>
      <w:r w:rsidR="003A1253" w:rsidRPr="00D613A6">
        <w:rPr>
          <w:b/>
          <w:color w:val="17365D"/>
        </w:rPr>
        <w:t> </w:t>
      </w:r>
      <w:r w:rsidR="00715AE8" w:rsidRPr="00D613A6">
        <w:rPr>
          <w:b/>
          <w:color w:val="17365D"/>
        </w:rPr>
        <w:t>0</w:t>
      </w:r>
      <w:r w:rsidR="00134836" w:rsidRPr="00D613A6">
        <w:rPr>
          <w:b/>
          <w:color w:val="17365D"/>
        </w:rPr>
        <w:t>00 000 </w:t>
      </w:r>
      <w:r w:rsidRPr="00D613A6">
        <w:rPr>
          <w:i/>
          <w:color w:val="17365D"/>
        </w:rPr>
        <w:t>euro</w:t>
      </w:r>
      <w:r w:rsidRPr="00D613A6">
        <w:rPr>
          <w:color w:val="17365D"/>
        </w:rPr>
        <w:t xml:space="preserve"> un </w:t>
      </w:r>
      <w:r w:rsidRPr="00D613A6">
        <w:rPr>
          <w:b/>
          <w:color w:val="17365D"/>
        </w:rPr>
        <w:t>10</w:t>
      </w:r>
      <w:r w:rsidR="00E53AE1" w:rsidRPr="00D613A6">
        <w:rPr>
          <w:b/>
          <w:color w:val="17365D"/>
        </w:rPr>
        <w:t> </w:t>
      </w:r>
      <w:r w:rsidRPr="00D613A6">
        <w:rPr>
          <w:b/>
          <w:color w:val="17365D"/>
        </w:rPr>
        <w:t xml:space="preserve">% </w:t>
      </w:r>
      <w:r w:rsidRPr="00D613A6">
        <w:rPr>
          <w:color w:val="17365D"/>
        </w:rPr>
        <w:t xml:space="preserve">– absolūta vai relatīva vērtība, ar kuru sākot pārskatos sniedz </w:t>
      </w:r>
      <w:r w:rsidR="00000A23" w:rsidRPr="00D613A6">
        <w:rPr>
          <w:noProof w:val="0"/>
          <w:color w:val="17365D"/>
        </w:rPr>
        <w:t>skaidrojumu par attiecīgā budžeta izpildes posteņa izmaiņām salīdzinājumā ar iepriekšējo periodu</w:t>
      </w:r>
      <w:r w:rsidRPr="00D613A6">
        <w:rPr>
          <w:noProof w:val="0"/>
          <w:color w:val="17365D"/>
        </w:rPr>
        <w:t>. Procentuālās izmaiņas skaidrotas</w:t>
      </w:r>
      <w:r w:rsidR="00655DB4" w:rsidRPr="00D613A6">
        <w:rPr>
          <w:noProof w:val="0"/>
          <w:color w:val="17365D"/>
        </w:rPr>
        <w:t>,</w:t>
      </w:r>
      <w:r w:rsidRPr="00D613A6">
        <w:rPr>
          <w:noProof w:val="0"/>
          <w:color w:val="17365D"/>
        </w:rPr>
        <w:t xml:space="preserve"> </w:t>
      </w:r>
      <w:r w:rsidR="00975815" w:rsidRPr="00D613A6">
        <w:rPr>
          <w:noProof w:val="0"/>
          <w:color w:val="17365D"/>
        </w:rPr>
        <w:t>ja tās pārsniedz 10%</w:t>
      </w:r>
      <w:r w:rsidRPr="00D613A6">
        <w:rPr>
          <w:noProof w:val="0"/>
          <w:color w:val="17365D"/>
        </w:rPr>
        <w:t xml:space="preserve">. </w:t>
      </w:r>
    </w:p>
    <w:p w14:paraId="730B4CDF" w14:textId="6B576123" w:rsidR="00E00DF0" w:rsidRPr="00D613A6" w:rsidRDefault="004D3149" w:rsidP="004D3149">
      <w:pPr>
        <w:pStyle w:val="Heading1"/>
        <w:rPr>
          <w:rFonts w:cs="Times New Roman"/>
          <w:noProof w:val="0"/>
          <w:color w:val="17365D"/>
        </w:rPr>
      </w:pPr>
      <w:r w:rsidRPr="00D613A6">
        <w:rPr>
          <w:rFonts w:cs="Times New Roman"/>
          <w:noProof w:val="0"/>
          <w:color w:val="17365D"/>
        </w:rPr>
        <w:t>Valsts konsolidētais budžets</w:t>
      </w:r>
    </w:p>
    <w:p w14:paraId="24B1525E" w14:textId="0AFA5EB5" w:rsidR="007A09E6" w:rsidRPr="00D613A6" w:rsidRDefault="00216337" w:rsidP="006945F6">
      <w:pPr>
        <w:pStyle w:val="Pamatteksts1"/>
        <w:rPr>
          <w:noProof w:val="0"/>
          <w:color w:val="17365D"/>
        </w:rPr>
      </w:pPr>
      <w:r w:rsidRPr="00D613A6">
        <w:rPr>
          <w:b/>
          <w:color w:val="17365D"/>
          <w:u w:val="single"/>
        </w:rPr>
        <mc:AlternateContent>
          <mc:Choice Requires="wps">
            <w:drawing>
              <wp:anchor distT="0" distB="0" distL="114300" distR="114300" simplePos="0" relativeHeight="251653632" behindDoc="1" locked="0" layoutInCell="1" allowOverlap="1" wp14:anchorId="6F18CB3B" wp14:editId="51F02077">
                <wp:simplePos x="0" y="0"/>
                <wp:positionH relativeFrom="column">
                  <wp:posOffset>4261790</wp:posOffset>
                </wp:positionH>
                <wp:positionV relativeFrom="paragraph">
                  <wp:posOffset>59690</wp:posOffset>
                </wp:positionV>
                <wp:extent cx="1681200" cy="961200"/>
                <wp:effectExtent l="0" t="0" r="14605" b="10795"/>
                <wp:wrapTight wrapText="bothSides">
                  <wp:wrapPolygon edited="0">
                    <wp:start x="0" y="0"/>
                    <wp:lineTo x="0" y="21414"/>
                    <wp:lineTo x="21543" y="21414"/>
                    <wp:lineTo x="21543" y="0"/>
                    <wp:lineTo x="0" y="0"/>
                  </wp:wrapPolygon>
                </wp:wrapTight>
                <wp:docPr id="25" name="Rectangle 25"/>
                <wp:cNvGraphicFramePr/>
                <a:graphic xmlns:a="http://schemas.openxmlformats.org/drawingml/2006/main">
                  <a:graphicData uri="http://schemas.microsoft.com/office/word/2010/wordprocessingShape">
                    <wps:wsp>
                      <wps:cNvSpPr/>
                      <wps:spPr>
                        <a:xfrm>
                          <a:off x="0" y="0"/>
                          <a:ext cx="1681200" cy="961200"/>
                        </a:xfrm>
                        <a:prstGeom prst="rect">
                          <a:avLst/>
                        </a:prstGeom>
                        <a:solidFill>
                          <a:sysClr val="window" lastClr="FFFFFF"/>
                        </a:solidFill>
                        <a:ln w="25400" cap="flat" cmpd="sng" algn="ctr">
                          <a:solidFill>
                            <a:srgbClr val="17365D"/>
                          </a:solidFill>
                          <a:prstDash val="sysDot"/>
                        </a:ln>
                        <a:effectLst/>
                      </wps:spPr>
                      <wps:txbx>
                        <w:txbxContent>
                          <w:p w14:paraId="22BE659D" w14:textId="77777777" w:rsidR="000A5BFC" w:rsidRPr="00E77E55" w:rsidRDefault="000A5BFC" w:rsidP="004B1D14">
                            <w:pPr>
                              <w:ind w:firstLine="0"/>
                              <w:jc w:val="center"/>
                              <w:rPr>
                                <w:color w:val="17365D"/>
                              </w:rPr>
                            </w:pPr>
                            <w:r w:rsidRPr="00E77E55">
                              <w:rPr>
                                <w:color w:val="17365D"/>
                              </w:rPr>
                              <w:t>Valsts konsolidētā budžeta ieņēmumi –</w:t>
                            </w:r>
                          </w:p>
                          <w:p w14:paraId="7D4D0761" w14:textId="1120C367" w:rsidR="000A5BFC" w:rsidRPr="00E77E55" w:rsidRDefault="000A5BFC" w:rsidP="004B1D14">
                            <w:pPr>
                              <w:ind w:firstLine="0"/>
                              <w:jc w:val="center"/>
                              <w:rPr>
                                <w:color w:val="17365D"/>
                              </w:rPr>
                            </w:pPr>
                            <w:r>
                              <w:rPr>
                                <w:color w:val="17365D"/>
                              </w:rPr>
                              <w:t xml:space="preserve"> </w:t>
                            </w:r>
                            <w:r>
                              <w:rPr>
                                <w:b/>
                                <w:color w:val="17365D"/>
                              </w:rPr>
                              <w:t xml:space="preserve">14 605 474 675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8CB3B" id="Rectangle 25" o:spid="_x0000_s1026" style="position:absolute;left:0;text-align:left;margin-left:335.55pt;margin-top:4.7pt;width:132.4pt;height:7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" fillcolor="window" strokecolor="#17365d" strokeweight="2pt">
                <v:stroke dashstyle="1 1"/>
                <v:textbox>
                  <w:txbxContent>
                    <w:p w14:paraId="22BE659D" w14:textId="77777777" w:rsidR="000A5BFC" w:rsidRPr="00E77E55" w:rsidRDefault="000A5BFC" w:rsidP="004B1D14">
                      <w:pPr>
                        <w:ind w:firstLine="0"/>
                        <w:jc w:val="center"/>
                        <w:rPr>
                          <w:color w:val="17365D"/>
                        </w:rPr>
                      </w:pPr>
                      <w:r w:rsidRPr="00E77E55">
                        <w:rPr>
                          <w:color w:val="17365D"/>
                        </w:rPr>
                        <w:t>Valsts konsolidētā budžeta ieņēmumi –</w:t>
                      </w:r>
                    </w:p>
                    <w:p w14:paraId="7D4D0761" w14:textId="1120C367" w:rsidR="000A5BFC" w:rsidRPr="00E77E55" w:rsidRDefault="000A5BFC" w:rsidP="004B1D14">
                      <w:pPr>
                        <w:ind w:firstLine="0"/>
                        <w:jc w:val="center"/>
                        <w:rPr>
                          <w:color w:val="17365D"/>
                        </w:rPr>
                      </w:pPr>
                      <w:r>
                        <w:rPr>
                          <w:color w:val="17365D"/>
                        </w:rPr>
                        <w:t xml:space="preserve"> </w:t>
                      </w:r>
                      <w:r>
                        <w:rPr>
                          <w:b/>
                          <w:color w:val="17365D"/>
                        </w:rPr>
                        <w:t xml:space="preserve">14 605 474 675 </w:t>
                      </w:r>
                      <w:r w:rsidRPr="00E77E55">
                        <w:rPr>
                          <w:i/>
                          <w:color w:val="17365D"/>
                        </w:rPr>
                        <w:t>euro</w:t>
                      </w:r>
                    </w:p>
                  </w:txbxContent>
                </v:textbox>
                <w10:wrap type="tight"/>
              </v:rect>
            </w:pict>
          </mc:Fallback>
        </mc:AlternateContent>
      </w:r>
      <w:r w:rsidR="007A09E6" w:rsidRPr="00D613A6">
        <w:rPr>
          <w:noProof w:val="0"/>
          <w:color w:val="17365D"/>
          <w:u w:val="single"/>
        </w:rPr>
        <w:t>Valsts konsolidētā budžeta ieņēmumi</w:t>
      </w:r>
      <w:r w:rsidR="007A09E6" w:rsidRPr="00D613A6">
        <w:rPr>
          <w:noProof w:val="0"/>
          <w:color w:val="17365D"/>
        </w:rPr>
        <w:t xml:space="preserve"> 20</w:t>
      </w:r>
      <w:r w:rsidR="004A6878" w:rsidRPr="00D613A6">
        <w:rPr>
          <w:noProof w:val="0"/>
          <w:color w:val="17365D"/>
        </w:rPr>
        <w:t>2</w:t>
      </w:r>
      <w:r w:rsidR="00573955" w:rsidRPr="00D613A6">
        <w:rPr>
          <w:noProof w:val="0"/>
          <w:color w:val="17365D"/>
        </w:rPr>
        <w:t>4</w:t>
      </w:r>
      <w:r w:rsidR="007A09E6" w:rsidRPr="00D613A6">
        <w:rPr>
          <w:noProof w:val="0"/>
          <w:color w:val="17365D"/>
        </w:rPr>
        <w:t>.</w:t>
      </w:r>
      <w:r w:rsidR="008F2503" w:rsidRPr="00D613A6">
        <w:rPr>
          <w:noProof w:val="0"/>
          <w:color w:val="17365D"/>
        </w:rPr>
        <w:t> </w:t>
      </w:r>
      <w:r w:rsidR="007A09E6" w:rsidRPr="00D613A6">
        <w:rPr>
          <w:noProof w:val="0"/>
          <w:color w:val="17365D"/>
        </w:rPr>
        <w:t xml:space="preserve">gadā ir </w:t>
      </w:r>
      <w:r w:rsidR="00573955" w:rsidRPr="00D613A6">
        <w:rPr>
          <w:noProof w:val="0"/>
          <w:color w:val="17365D"/>
        </w:rPr>
        <w:t>14</w:t>
      </w:r>
      <w:r w:rsidR="000D406C" w:rsidRPr="00D613A6">
        <w:rPr>
          <w:noProof w:val="0"/>
          <w:color w:val="17365D"/>
        </w:rPr>
        <w:t> </w:t>
      </w:r>
      <w:r w:rsidR="00573955" w:rsidRPr="00D613A6">
        <w:rPr>
          <w:noProof w:val="0"/>
          <w:color w:val="17365D"/>
        </w:rPr>
        <w:t>605</w:t>
      </w:r>
      <w:r w:rsidR="000D406C" w:rsidRPr="00D613A6">
        <w:rPr>
          <w:noProof w:val="0"/>
          <w:color w:val="17365D"/>
        </w:rPr>
        <w:t>,</w:t>
      </w:r>
      <w:r w:rsidR="00715AE8" w:rsidRPr="00D613A6">
        <w:rPr>
          <w:noProof w:val="0"/>
          <w:color w:val="17365D"/>
        </w:rPr>
        <w:t>5</w:t>
      </w:r>
      <w:r w:rsidR="00251CCE" w:rsidRPr="00D613A6">
        <w:rPr>
          <w:noProof w:val="0"/>
          <w:color w:val="17365D"/>
        </w:rPr>
        <w:t>0</w:t>
      </w:r>
      <w:r w:rsidR="005A0F71" w:rsidRPr="00D613A6">
        <w:rPr>
          <w:noProof w:val="0"/>
          <w:color w:val="17365D"/>
        </w:rPr>
        <w:t> </w:t>
      </w:r>
      <w:r w:rsidR="0082540A" w:rsidRPr="00D613A6">
        <w:rPr>
          <w:noProof w:val="0"/>
          <w:color w:val="17365D"/>
        </w:rPr>
        <w:t>milj. </w:t>
      </w:r>
      <w:r w:rsidR="00B14435" w:rsidRPr="00D613A6">
        <w:rPr>
          <w:i/>
          <w:noProof w:val="0"/>
          <w:color w:val="17365D"/>
        </w:rPr>
        <w:t>euro</w:t>
      </w:r>
      <w:r w:rsidR="007A09E6" w:rsidRPr="00D613A6">
        <w:rPr>
          <w:noProof w:val="0"/>
          <w:color w:val="17365D"/>
        </w:rPr>
        <w:t xml:space="preserve"> vērtībā, kas ir par </w:t>
      </w:r>
      <w:r w:rsidR="007A7F3C" w:rsidRPr="00D613A6">
        <w:rPr>
          <w:noProof w:val="0"/>
          <w:color w:val="17365D"/>
        </w:rPr>
        <w:t>1</w:t>
      </w:r>
      <w:r w:rsidR="00A33644" w:rsidRPr="00D613A6">
        <w:rPr>
          <w:noProof w:val="0"/>
          <w:color w:val="17365D"/>
        </w:rPr>
        <w:t> </w:t>
      </w:r>
      <w:r w:rsidR="00951D27" w:rsidRPr="00D613A6">
        <w:rPr>
          <w:noProof w:val="0"/>
          <w:color w:val="17365D"/>
        </w:rPr>
        <w:t>298</w:t>
      </w:r>
      <w:r w:rsidR="00565876" w:rsidRPr="00D613A6">
        <w:rPr>
          <w:color w:val="17365D"/>
        </w:rPr>
        <w:t>,</w:t>
      </w:r>
      <w:r w:rsidR="00951D27" w:rsidRPr="00D613A6">
        <w:rPr>
          <w:color w:val="17365D"/>
        </w:rPr>
        <w:t>7</w:t>
      </w:r>
      <w:r w:rsidR="00565876" w:rsidRPr="00D613A6">
        <w:rPr>
          <w:color w:val="17365D"/>
        </w:rPr>
        <w:t> </w:t>
      </w:r>
      <w:r w:rsidR="0082540A" w:rsidRPr="00D613A6">
        <w:rPr>
          <w:noProof w:val="0"/>
          <w:color w:val="17365D"/>
        </w:rPr>
        <w:t>milj. </w:t>
      </w:r>
      <w:r w:rsidR="0082540A" w:rsidRPr="00D613A6">
        <w:rPr>
          <w:i/>
          <w:noProof w:val="0"/>
          <w:color w:val="17365D"/>
        </w:rPr>
        <w:t>euro</w:t>
      </w:r>
      <w:r w:rsidR="007A09E6" w:rsidRPr="00D613A6">
        <w:rPr>
          <w:noProof w:val="0"/>
          <w:color w:val="17365D"/>
        </w:rPr>
        <w:t xml:space="preserve"> jeb </w:t>
      </w:r>
      <w:r w:rsidR="001D2376" w:rsidRPr="00D613A6">
        <w:rPr>
          <w:noProof w:val="0"/>
          <w:color w:val="17365D"/>
        </w:rPr>
        <w:t>9</w:t>
      </w:r>
      <w:r w:rsidR="007A09E6" w:rsidRPr="00D613A6">
        <w:rPr>
          <w:noProof w:val="0"/>
          <w:color w:val="17365D"/>
        </w:rPr>
        <w:t>,</w:t>
      </w:r>
      <w:r w:rsidR="00271B20" w:rsidRPr="00D613A6">
        <w:rPr>
          <w:noProof w:val="0"/>
          <w:color w:val="17365D"/>
        </w:rPr>
        <w:t>7</w:t>
      </w:r>
      <w:r w:rsidR="00951D27" w:rsidRPr="00D613A6">
        <w:rPr>
          <w:noProof w:val="0"/>
          <w:color w:val="17365D"/>
        </w:rPr>
        <w:t>6</w:t>
      </w:r>
      <w:r w:rsidR="006618F3" w:rsidRPr="00D613A6">
        <w:rPr>
          <w:noProof w:val="0"/>
          <w:color w:val="17365D"/>
        </w:rPr>
        <w:t> </w:t>
      </w:r>
      <w:r w:rsidR="006A7956" w:rsidRPr="00D613A6">
        <w:rPr>
          <w:noProof w:val="0"/>
          <w:color w:val="17365D"/>
        </w:rPr>
        <w:t>%</w:t>
      </w:r>
      <w:r w:rsidR="007A09E6" w:rsidRPr="00D613A6">
        <w:rPr>
          <w:noProof w:val="0"/>
          <w:color w:val="17365D"/>
        </w:rPr>
        <w:t xml:space="preserve"> vairāk nekā </w:t>
      </w:r>
      <w:r w:rsidR="008F2503" w:rsidRPr="00D613A6">
        <w:rPr>
          <w:noProof w:val="0"/>
          <w:color w:val="17365D"/>
        </w:rPr>
        <w:t>20</w:t>
      </w:r>
      <w:r w:rsidR="007A7F3C" w:rsidRPr="00D613A6">
        <w:rPr>
          <w:noProof w:val="0"/>
          <w:color w:val="17365D"/>
        </w:rPr>
        <w:t>2</w:t>
      </w:r>
      <w:r w:rsidR="00573955" w:rsidRPr="00D613A6">
        <w:rPr>
          <w:noProof w:val="0"/>
          <w:color w:val="17365D"/>
        </w:rPr>
        <w:t>3</w:t>
      </w:r>
      <w:r w:rsidR="008F2503" w:rsidRPr="00D613A6">
        <w:rPr>
          <w:noProof w:val="0"/>
          <w:color w:val="17365D"/>
        </w:rPr>
        <w:t>. gad</w:t>
      </w:r>
      <w:r w:rsidR="007A09E6" w:rsidRPr="00D613A6">
        <w:rPr>
          <w:noProof w:val="0"/>
          <w:color w:val="17365D"/>
        </w:rPr>
        <w:t xml:space="preserve">ā. </w:t>
      </w:r>
      <w:r w:rsidR="007741D4" w:rsidRPr="00D613A6">
        <w:rPr>
          <w:noProof w:val="0"/>
          <w:color w:val="17365D"/>
        </w:rPr>
        <w:t>Detalizēta informācija skatāma 20</w:t>
      </w:r>
      <w:r w:rsidR="006756C7" w:rsidRPr="00D613A6">
        <w:rPr>
          <w:noProof w:val="0"/>
          <w:color w:val="17365D"/>
        </w:rPr>
        <w:t>2</w:t>
      </w:r>
      <w:r w:rsidR="00573955" w:rsidRPr="00D613A6">
        <w:rPr>
          <w:noProof w:val="0"/>
          <w:color w:val="17365D"/>
        </w:rPr>
        <w:t>4</w:t>
      </w:r>
      <w:r w:rsidR="007741D4" w:rsidRPr="00D613A6">
        <w:rPr>
          <w:noProof w:val="0"/>
          <w:color w:val="17365D"/>
        </w:rPr>
        <w:t xml:space="preserve">. gada pārskata </w:t>
      </w:r>
      <w:r w:rsidR="002C61D7" w:rsidRPr="00D613A6">
        <w:rPr>
          <w:noProof w:val="0"/>
          <w:color w:val="17365D"/>
        </w:rPr>
        <w:t>6.</w:t>
      </w:r>
      <w:r w:rsidR="000321C6" w:rsidRPr="00D613A6">
        <w:rPr>
          <w:noProof w:val="0"/>
          <w:color w:val="17365D"/>
        </w:rPr>
        <w:t> </w:t>
      </w:r>
      <w:r w:rsidR="002C61D7" w:rsidRPr="00D613A6">
        <w:rPr>
          <w:noProof w:val="0"/>
          <w:color w:val="17365D"/>
        </w:rPr>
        <w:t>tabulā</w:t>
      </w:r>
      <w:r w:rsidR="007741D4" w:rsidRPr="00D613A6">
        <w:rPr>
          <w:noProof w:val="0"/>
          <w:color w:val="17365D"/>
        </w:rPr>
        <w:t xml:space="preserve"> </w:t>
      </w:r>
      <w:r w:rsidR="00BD5215" w:rsidRPr="00D613A6">
        <w:rPr>
          <w:noProof w:val="0"/>
          <w:color w:val="17365D"/>
        </w:rPr>
        <w:t>“</w:t>
      </w:r>
      <w:r w:rsidR="006C30DA" w:rsidRPr="00D613A6">
        <w:rPr>
          <w:noProof w:val="0"/>
          <w:color w:val="17365D"/>
        </w:rPr>
        <w:t xml:space="preserve">Konsolidētais valsts budžeta izpildes pārskats”. </w:t>
      </w:r>
      <w:r w:rsidR="007A09E6" w:rsidRPr="00D613A6">
        <w:rPr>
          <w:noProof w:val="0"/>
          <w:color w:val="17365D"/>
        </w:rPr>
        <w:t>Kopējie ieņēmumi attiecībā pret gada plān</w:t>
      </w:r>
      <w:bookmarkStart w:id="0" w:name="_GoBack"/>
      <w:bookmarkEnd w:id="0"/>
      <w:r w:rsidR="007A09E6" w:rsidRPr="00D613A6">
        <w:rPr>
          <w:noProof w:val="0"/>
          <w:color w:val="17365D"/>
        </w:rPr>
        <w:t>u</w:t>
      </w:r>
      <w:r w:rsidR="00D1054F" w:rsidRPr="00D613A6">
        <w:rPr>
          <w:noProof w:val="0"/>
          <w:color w:val="17365D"/>
        </w:rPr>
        <w:t xml:space="preserve"> ar izmaiņām</w:t>
      </w:r>
      <w:r w:rsidR="007A09E6" w:rsidRPr="00D613A6">
        <w:rPr>
          <w:noProof w:val="0"/>
          <w:color w:val="17365D"/>
        </w:rPr>
        <w:t xml:space="preserve"> ir </w:t>
      </w:r>
      <w:r w:rsidR="008645C9" w:rsidRPr="00D613A6">
        <w:rPr>
          <w:noProof w:val="0"/>
          <w:color w:val="17365D"/>
        </w:rPr>
        <w:t xml:space="preserve">izpildīti par </w:t>
      </w:r>
      <w:r w:rsidR="00951D27" w:rsidRPr="00D613A6">
        <w:rPr>
          <w:noProof w:val="0"/>
          <w:color w:val="17365D"/>
        </w:rPr>
        <w:t>97</w:t>
      </w:r>
      <w:r w:rsidR="007A09E6" w:rsidRPr="00D613A6">
        <w:rPr>
          <w:noProof w:val="0"/>
          <w:color w:val="17365D"/>
        </w:rPr>
        <w:t>,</w:t>
      </w:r>
      <w:r w:rsidR="00951D27" w:rsidRPr="00D613A6">
        <w:rPr>
          <w:noProof w:val="0"/>
          <w:color w:val="17365D"/>
        </w:rPr>
        <w:t>89</w:t>
      </w:r>
      <w:r w:rsidR="006A7956" w:rsidRPr="00D613A6">
        <w:rPr>
          <w:noProof w:val="0"/>
          <w:color w:val="17365D"/>
        </w:rPr>
        <w:t> %</w:t>
      </w:r>
      <w:r w:rsidR="007A09E6" w:rsidRPr="00D613A6">
        <w:rPr>
          <w:noProof w:val="0"/>
          <w:color w:val="17365D"/>
        </w:rPr>
        <w:t xml:space="preserve">. </w:t>
      </w:r>
      <w:r w:rsidR="00D1054F" w:rsidRPr="00D613A6">
        <w:rPr>
          <w:noProof w:val="0"/>
          <w:color w:val="17365D"/>
        </w:rPr>
        <w:t>L</w:t>
      </w:r>
      <w:r w:rsidR="00687F81" w:rsidRPr="00D613A6">
        <w:rPr>
          <w:noProof w:val="0"/>
          <w:color w:val="17365D"/>
        </w:rPr>
        <w:t>ielāko daļu</w:t>
      </w:r>
      <w:r w:rsidR="007A09E6" w:rsidRPr="00D613A6">
        <w:rPr>
          <w:noProof w:val="0"/>
          <w:color w:val="17365D"/>
        </w:rPr>
        <w:t xml:space="preserve"> </w:t>
      </w:r>
      <w:r w:rsidR="00D1054F" w:rsidRPr="00D613A6">
        <w:rPr>
          <w:noProof w:val="0"/>
          <w:color w:val="17365D"/>
        </w:rPr>
        <w:t>202</w:t>
      </w:r>
      <w:r w:rsidR="00573955" w:rsidRPr="00D613A6">
        <w:rPr>
          <w:noProof w:val="0"/>
          <w:color w:val="17365D"/>
        </w:rPr>
        <w:t>4</w:t>
      </w:r>
      <w:r w:rsidR="00D1054F" w:rsidRPr="00D613A6">
        <w:rPr>
          <w:noProof w:val="0"/>
          <w:color w:val="17365D"/>
        </w:rPr>
        <w:t xml:space="preserve">. gada valsts budžeta ieņēmumos </w:t>
      </w:r>
      <w:r w:rsidR="007A09E6" w:rsidRPr="00D613A6">
        <w:rPr>
          <w:noProof w:val="0"/>
          <w:color w:val="17365D"/>
        </w:rPr>
        <w:t>veido nodokļu ieņēmumi</w:t>
      </w:r>
      <w:r w:rsidR="00624D2D" w:rsidRPr="00D613A6">
        <w:rPr>
          <w:noProof w:val="0"/>
          <w:color w:val="17365D"/>
        </w:rPr>
        <w:t xml:space="preserve"> </w:t>
      </w:r>
      <w:r w:rsidR="00573955" w:rsidRPr="00D613A6">
        <w:rPr>
          <w:noProof w:val="0"/>
          <w:color w:val="17365D"/>
        </w:rPr>
        <w:t>11</w:t>
      </w:r>
      <w:r w:rsidR="00D1054F" w:rsidRPr="00D613A6">
        <w:rPr>
          <w:noProof w:val="0"/>
          <w:color w:val="17365D"/>
        </w:rPr>
        <w:t> </w:t>
      </w:r>
      <w:r w:rsidR="00573955" w:rsidRPr="00D613A6">
        <w:rPr>
          <w:noProof w:val="0"/>
          <w:color w:val="17365D"/>
        </w:rPr>
        <w:t>219</w:t>
      </w:r>
      <w:r w:rsidR="00D1054F" w:rsidRPr="00D613A6">
        <w:rPr>
          <w:noProof w:val="0"/>
          <w:color w:val="17365D"/>
        </w:rPr>
        <w:t>,</w:t>
      </w:r>
      <w:r w:rsidR="00573955" w:rsidRPr="00D613A6">
        <w:rPr>
          <w:noProof w:val="0"/>
          <w:color w:val="17365D"/>
        </w:rPr>
        <w:t>5</w:t>
      </w:r>
      <w:r w:rsidR="00D1054F" w:rsidRPr="00D613A6">
        <w:rPr>
          <w:noProof w:val="0"/>
          <w:color w:val="17365D"/>
        </w:rPr>
        <w:t xml:space="preserve"> milj. </w:t>
      </w:r>
      <w:r w:rsidR="00D1054F" w:rsidRPr="00D613A6">
        <w:rPr>
          <w:i/>
          <w:noProof w:val="0"/>
          <w:color w:val="17365D"/>
        </w:rPr>
        <w:t xml:space="preserve">euro </w:t>
      </w:r>
      <w:r w:rsidR="00D1054F" w:rsidRPr="00D613A6">
        <w:rPr>
          <w:noProof w:val="0"/>
          <w:color w:val="17365D"/>
        </w:rPr>
        <w:t>vērtībā</w:t>
      </w:r>
      <w:r w:rsidR="007A09E6" w:rsidRPr="00D613A6">
        <w:rPr>
          <w:noProof w:val="0"/>
          <w:color w:val="17365D"/>
        </w:rPr>
        <w:t xml:space="preserve">, kas ir par </w:t>
      </w:r>
      <w:r w:rsidR="00951D27" w:rsidRPr="00D613A6">
        <w:rPr>
          <w:noProof w:val="0"/>
          <w:color w:val="17365D"/>
        </w:rPr>
        <w:t>744</w:t>
      </w:r>
      <w:r w:rsidR="007A09E6" w:rsidRPr="00D613A6">
        <w:rPr>
          <w:noProof w:val="0"/>
          <w:color w:val="17365D"/>
        </w:rPr>
        <w:t>,</w:t>
      </w:r>
      <w:r w:rsidR="00951D27" w:rsidRPr="00D613A6">
        <w:rPr>
          <w:noProof w:val="0"/>
          <w:color w:val="17365D"/>
        </w:rPr>
        <w:t>7</w:t>
      </w:r>
      <w:r w:rsidR="00536DFF" w:rsidRPr="00D613A6">
        <w:rPr>
          <w:noProof w:val="0"/>
          <w:color w:val="17365D"/>
        </w:rPr>
        <w:t> </w:t>
      </w:r>
      <w:r w:rsidR="007A09E6" w:rsidRPr="00D613A6">
        <w:rPr>
          <w:noProof w:val="0"/>
          <w:color w:val="17365D"/>
        </w:rPr>
        <w:t>milj</w:t>
      </w:r>
      <w:r w:rsidR="0082540A" w:rsidRPr="00D613A6">
        <w:rPr>
          <w:noProof w:val="0"/>
          <w:color w:val="17365D"/>
        </w:rPr>
        <w:t>. </w:t>
      </w:r>
      <w:r w:rsidR="0082540A" w:rsidRPr="00D613A6">
        <w:rPr>
          <w:i/>
          <w:noProof w:val="0"/>
          <w:color w:val="17365D"/>
        </w:rPr>
        <w:t>euro</w:t>
      </w:r>
      <w:r w:rsidR="0082540A" w:rsidRPr="00D613A6">
        <w:rPr>
          <w:noProof w:val="0"/>
          <w:color w:val="17365D"/>
        </w:rPr>
        <w:t xml:space="preserve"> </w:t>
      </w:r>
      <w:r w:rsidR="007A09E6" w:rsidRPr="00D613A6">
        <w:rPr>
          <w:noProof w:val="0"/>
          <w:color w:val="17365D"/>
        </w:rPr>
        <w:t xml:space="preserve">jeb </w:t>
      </w:r>
      <w:r w:rsidR="00951D27" w:rsidRPr="00D613A6">
        <w:rPr>
          <w:noProof w:val="0"/>
          <w:color w:val="17365D"/>
        </w:rPr>
        <w:t>7</w:t>
      </w:r>
      <w:r w:rsidR="007A09E6" w:rsidRPr="00D613A6">
        <w:rPr>
          <w:noProof w:val="0"/>
          <w:color w:val="17365D"/>
        </w:rPr>
        <w:t>,</w:t>
      </w:r>
      <w:r w:rsidR="00951D27" w:rsidRPr="00D613A6">
        <w:rPr>
          <w:noProof w:val="0"/>
          <w:color w:val="17365D"/>
        </w:rPr>
        <w:t>11</w:t>
      </w:r>
      <w:r w:rsidR="006618F3" w:rsidRPr="00D613A6">
        <w:rPr>
          <w:noProof w:val="0"/>
          <w:color w:val="17365D"/>
        </w:rPr>
        <w:t> </w:t>
      </w:r>
      <w:r w:rsidR="006A7956" w:rsidRPr="00D613A6">
        <w:rPr>
          <w:noProof w:val="0"/>
          <w:color w:val="17365D"/>
        </w:rPr>
        <w:t>%</w:t>
      </w:r>
      <w:r w:rsidR="007A09E6" w:rsidRPr="00D613A6">
        <w:rPr>
          <w:noProof w:val="0"/>
          <w:color w:val="17365D"/>
        </w:rPr>
        <w:t xml:space="preserve"> vairāk nekā </w:t>
      </w:r>
      <w:r w:rsidR="008F2503" w:rsidRPr="00D613A6">
        <w:rPr>
          <w:noProof w:val="0"/>
          <w:color w:val="17365D"/>
        </w:rPr>
        <w:t>20</w:t>
      </w:r>
      <w:r w:rsidR="00995D12" w:rsidRPr="00D613A6">
        <w:rPr>
          <w:noProof w:val="0"/>
          <w:color w:val="17365D"/>
        </w:rPr>
        <w:t>2</w:t>
      </w:r>
      <w:r w:rsidR="00573955" w:rsidRPr="00D613A6">
        <w:rPr>
          <w:noProof w:val="0"/>
          <w:color w:val="17365D"/>
        </w:rPr>
        <w:t>3</w:t>
      </w:r>
      <w:r w:rsidR="008F2503" w:rsidRPr="00D613A6">
        <w:rPr>
          <w:noProof w:val="0"/>
          <w:color w:val="17365D"/>
        </w:rPr>
        <w:t>. gad</w:t>
      </w:r>
      <w:r w:rsidR="007A09E6" w:rsidRPr="00D613A6">
        <w:rPr>
          <w:noProof w:val="0"/>
          <w:color w:val="17365D"/>
        </w:rPr>
        <w:t xml:space="preserve">ā. Nenodokļu ieņēmumi </w:t>
      </w:r>
      <w:r w:rsidR="008F2503" w:rsidRPr="00D613A6">
        <w:rPr>
          <w:noProof w:val="0"/>
          <w:color w:val="17365D"/>
        </w:rPr>
        <w:t>20</w:t>
      </w:r>
      <w:r w:rsidR="006756C7" w:rsidRPr="00D613A6">
        <w:rPr>
          <w:noProof w:val="0"/>
          <w:color w:val="17365D"/>
        </w:rPr>
        <w:t>2</w:t>
      </w:r>
      <w:r w:rsidR="00573955" w:rsidRPr="00D613A6">
        <w:rPr>
          <w:noProof w:val="0"/>
          <w:color w:val="17365D"/>
        </w:rPr>
        <w:t>4</w:t>
      </w:r>
      <w:r w:rsidR="008F2503" w:rsidRPr="00D613A6">
        <w:rPr>
          <w:noProof w:val="0"/>
          <w:color w:val="17365D"/>
        </w:rPr>
        <w:t>. gad</w:t>
      </w:r>
      <w:r w:rsidR="007A09E6" w:rsidRPr="00D613A6">
        <w:rPr>
          <w:noProof w:val="0"/>
          <w:color w:val="17365D"/>
        </w:rPr>
        <w:t xml:space="preserve">ā ir </w:t>
      </w:r>
      <w:r w:rsidR="00A97606" w:rsidRPr="00D613A6">
        <w:rPr>
          <w:noProof w:val="0"/>
          <w:color w:val="17365D"/>
        </w:rPr>
        <w:t>1 </w:t>
      </w:r>
      <w:r w:rsidR="00573955" w:rsidRPr="00D613A6">
        <w:rPr>
          <w:noProof w:val="0"/>
          <w:color w:val="17365D"/>
        </w:rPr>
        <w:t>198</w:t>
      </w:r>
      <w:r w:rsidR="007A09E6" w:rsidRPr="00D613A6">
        <w:rPr>
          <w:noProof w:val="0"/>
          <w:color w:val="17365D"/>
        </w:rPr>
        <w:t>,</w:t>
      </w:r>
      <w:r w:rsidR="00951D27" w:rsidRPr="00D613A6">
        <w:rPr>
          <w:noProof w:val="0"/>
          <w:color w:val="17365D"/>
        </w:rPr>
        <w:t>5</w:t>
      </w:r>
      <w:r w:rsidR="00536DFF" w:rsidRPr="00D613A6">
        <w:rPr>
          <w:noProof w:val="0"/>
          <w:color w:val="17365D"/>
        </w:rPr>
        <w:t> </w:t>
      </w:r>
      <w:r w:rsidR="007A09E6" w:rsidRPr="00D613A6">
        <w:rPr>
          <w:noProof w:val="0"/>
          <w:color w:val="17365D"/>
        </w:rPr>
        <w:t>milj</w:t>
      </w:r>
      <w:r w:rsidR="000A4A1D" w:rsidRPr="00D613A6">
        <w:rPr>
          <w:noProof w:val="0"/>
          <w:color w:val="17365D"/>
        </w:rPr>
        <w:t>. </w:t>
      </w:r>
      <w:r w:rsidR="000A4A1D" w:rsidRPr="00D613A6">
        <w:rPr>
          <w:i/>
          <w:noProof w:val="0"/>
          <w:color w:val="17365D"/>
        </w:rPr>
        <w:t>euro</w:t>
      </w:r>
      <w:r w:rsidR="00375D5A" w:rsidRPr="00D613A6">
        <w:rPr>
          <w:i/>
          <w:noProof w:val="0"/>
          <w:color w:val="17365D"/>
        </w:rPr>
        <w:t xml:space="preserve"> </w:t>
      </w:r>
      <w:r w:rsidR="00375D5A" w:rsidRPr="00D613A6">
        <w:rPr>
          <w:noProof w:val="0"/>
          <w:color w:val="17365D"/>
        </w:rPr>
        <w:t>vērtībā</w:t>
      </w:r>
      <w:r w:rsidR="007A09E6" w:rsidRPr="00D613A6">
        <w:rPr>
          <w:noProof w:val="0"/>
          <w:color w:val="17365D"/>
        </w:rPr>
        <w:t xml:space="preserve">, kas ir par </w:t>
      </w:r>
      <w:r w:rsidR="00951D27" w:rsidRPr="00D613A6">
        <w:rPr>
          <w:noProof w:val="0"/>
          <w:color w:val="17365D"/>
        </w:rPr>
        <w:t>163</w:t>
      </w:r>
      <w:r w:rsidR="00536DFF" w:rsidRPr="00D613A6">
        <w:rPr>
          <w:noProof w:val="0"/>
          <w:color w:val="17365D"/>
        </w:rPr>
        <w:t>,</w:t>
      </w:r>
      <w:r w:rsidR="00951D27" w:rsidRPr="00D613A6">
        <w:rPr>
          <w:noProof w:val="0"/>
          <w:color w:val="17365D"/>
        </w:rPr>
        <w:t>7</w:t>
      </w:r>
      <w:r w:rsidR="00536DFF" w:rsidRPr="00D613A6">
        <w:rPr>
          <w:noProof w:val="0"/>
          <w:color w:val="17365D"/>
        </w:rPr>
        <w:t> </w:t>
      </w:r>
      <w:r w:rsidR="007A09E6" w:rsidRPr="00D613A6">
        <w:rPr>
          <w:noProof w:val="0"/>
          <w:color w:val="17365D"/>
        </w:rPr>
        <w:t>milj</w:t>
      </w:r>
      <w:r w:rsidR="0082540A" w:rsidRPr="00D613A6">
        <w:rPr>
          <w:noProof w:val="0"/>
          <w:color w:val="17365D"/>
        </w:rPr>
        <w:t>. </w:t>
      </w:r>
      <w:r w:rsidR="0082540A" w:rsidRPr="00D613A6">
        <w:rPr>
          <w:i/>
          <w:noProof w:val="0"/>
          <w:color w:val="17365D"/>
        </w:rPr>
        <w:t>euro</w:t>
      </w:r>
      <w:r w:rsidR="0082540A" w:rsidRPr="00D613A6">
        <w:rPr>
          <w:noProof w:val="0"/>
          <w:color w:val="17365D"/>
        </w:rPr>
        <w:t xml:space="preserve"> </w:t>
      </w:r>
      <w:r w:rsidR="007A09E6" w:rsidRPr="00D613A6">
        <w:rPr>
          <w:noProof w:val="0"/>
          <w:color w:val="17365D"/>
        </w:rPr>
        <w:t xml:space="preserve">jeb </w:t>
      </w:r>
      <w:r w:rsidR="00951D27" w:rsidRPr="00D613A6">
        <w:rPr>
          <w:noProof w:val="0"/>
          <w:color w:val="17365D"/>
        </w:rPr>
        <w:t>1</w:t>
      </w:r>
      <w:r w:rsidR="00A97606" w:rsidRPr="00D613A6">
        <w:rPr>
          <w:noProof w:val="0"/>
          <w:color w:val="17365D"/>
        </w:rPr>
        <w:t>5</w:t>
      </w:r>
      <w:r w:rsidR="007A09E6" w:rsidRPr="00D613A6">
        <w:rPr>
          <w:noProof w:val="0"/>
          <w:color w:val="17365D"/>
        </w:rPr>
        <w:t>,</w:t>
      </w:r>
      <w:r w:rsidR="00951D27" w:rsidRPr="00D613A6">
        <w:rPr>
          <w:noProof w:val="0"/>
          <w:color w:val="17365D"/>
        </w:rPr>
        <w:t>82</w:t>
      </w:r>
      <w:r w:rsidR="006A7956" w:rsidRPr="00D613A6">
        <w:rPr>
          <w:noProof w:val="0"/>
          <w:color w:val="17365D"/>
        </w:rPr>
        <w:t> %</w:t>
      </w:r>
      <w:r w:rsidR="007A09E6" w:rsidRPr="00D613A6">
        <w:rPr>
          <w:noProof w:val="0"/>
          <w:color w:val="17365D"/>
        </w:rPr>
        <w:t xml:space="preserve"> </w:t>
      </w:r>
      <w:r w:rsidR="001152D1" w:rsidRPr="00D613A6">
        <w:rPr>
          <w:noProof w:val="0"/>
          <w:color w:val="17365D"/>
        </w:rPr>
        <w:t>vairāk</w:t>
      </w:r>
      <w:r w:rsidR="007A09E6" w:rsidRPr="00D613A6">
        <w:rPr>
          <w:noProof w:val="0"/>
          <w:color w:val="17365D"/>
        </w:rPr>
        <w:t xml:space="preserve"> nekā </w:t>
      </w:r>
      <w:r w:rsidR="008F2503" w:rsidRPr="00D613A6">
        <w:rPr>
          <w:noProof w:val="0"/>
          <w:color w:val="17365D"/>
        </w:rPr>
        <w:t>20</w:t>
      </w:r>
      <w:r w:rsidR="00995D12" w:rsidRPr="00D613A6">
        <w:rPr>
          <w:noProof w:val="0"/>
          <w:color w:val="17365D"/>
        </w:rPr>
        <w:t>2</w:t>
      </w:r>
      <w:r w:rsidR="00573955" w:rsidRPr="00D613A6">
        <w:rPr>
          <w:noProof w:val="0"/>
          <w:color w:val="17365D"/>
        </w:rPr>
        <w:t>3</w:t>
      </w:r>
      <w:r w:rsidR="008F2503" w:rsidRPr="00D613A6">
        <w:rPr>
          <w:noProof w:val="0"/>
          <w:color w:val="17365D"/>
        </w:rPr>
        <w:t>. gad</w:t>
      </w:r>
      <w:r w:rsidR="00D33F96" w:rsidRPr="00D613A6">
        <w:rPr>
          <w:noProof w:val="0"/>
          <w:color w:val="17365D"/>
        </w:rPr>
        <w:t>ā</w:t>
      </w:r>
      <w:r w:rsidR="007A09E6" w:rsidRPr="00D613A6">
        <w:rPr>
          <w:noProof w:val="0"/>
          <w:color w:val="17365D"/>
        </w:rPr>
        <w:t xml:space="preserve"> </w:t>
      </w:r>
      <w:r w:rsidR="00D33F96" w:rsidRPr="00D613A6">
        <w:rPr>
          <w:bCs/>
          <w:noProof w:val="0"/>
          <w:color w:val="17365D"/>
        </w:rPr>
        <w:t>(skatīt 6.1. attēlu).</w:t>
      </w:r>
    </w:p>
    <w:p w14:paraId="18071591" w14:textId="745A35F9" w:rsidR="005A03C8" w:rsidRPr="00D613A6" w:rsidRDefault="00D33F96" w:rsidP="00D33F96">
      <w:pPr>
        <w:pStyle w:val="Pamatteksts1"/>
        <w:ind w:firstLine="0"/>
        <w:rPr>
          <w:noProof w:val="0"/>
          <w:color w:val="17365D"/>
        </w:rPr>
      </w:pPr>
      <w:r w:rsidRPr="00D613A6">
        <w:rPr>
          <w:color w:val="17365D"/>
        </w:rPr>
        <w:drawing>
          <wp:inline distT="0" distB="0" distL="0" distR="0" wp14:anchorId="43D59242" wp14:editId="7F167DDD">
            <wp:extent cx="5941060" cy="2770360"/>
            <wp:effectExtent l="0" t="0" r="254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5670F26" w14:textId="39491C1C" w:rsidR="005A03C8" w:rsidRPr="00D613A6" w:rsidRDefault="005A03C8" w:rsidP="005A03C8">
      <w:pPr>
        <w:pStyle w:val="Attlanosaukums"/>
        <w:spacing w:before="240"/>
        <w:ind w:firstLine="0"/>
        <w:rPr>
          <w:noProof w:val="0"/>
          <w:color w:val="17365D"/>
        </w:rPr>
      </w:pPr>
      <w:r w:rsidRPr="00D613A6">
        <w:rPr>
          <w:noProof w:val="0"/>
          <w:color w:val="17365D"/>
        </w:rPr>
        <w:t>6.1. attēls. Konsolidētie valsts budžeta ieņēmumi 2015.</w:t>
      </w:r>
      <w:r w:rsidR="005974A9" w:rsidRPr="00D613A6">
        <w:rPr>
          <w:noProof w:val="0"/>
          <w:color w:val="17365D"/>
        </w:rPr>
        <w:t xml:space="preserve"> –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771F58EA" w14:textId="034FE7E9" w:rsidR="00D33F96" w:rsidRPr="00D613A6" w:rsidRDefault="00D33F96" w:rsidP="00D33F96">
      <w:pPr>
        <w:pStyle w:val="Pamatteksts1"/>
        <w:rPr>
          <w:noProof w:val="0"/>
          <w:color w:val="17365D"/>
        </w:rPr>
      </w:pPr>
      <w:r w:rsidRPr="00D613A6">
        <w:rPr>
          <w:noProof w:val="0"/>
          <w:color w:val="17365D"/>
        </w:rPr>
        <w:lastRenderedPageBreak/>
        <w:t>Maksas pakalpojumi un citi pašu ieņēmumi ir 355,7 milj. </w:t>
      </w:r>
      <w:r w:rsidRPr="00D613A6">
        <w:rPr>
          <w:i/>
          <w:noProof w:val="0"/>
          <w:color w:val="17365D"/>
        </w:rPr>
        <w:t xml:space="preserve">euro </w:t>
      </w:r>
      <w:r w:rsidRPr="00D613A6">
        <w:rPr>
          <w:noProof w:val="0"/>
          <w:color w:val="17365D"/>
        </w:rPr>
        <w:t>vērtībā, kas ir par 32,1 milj. </w:t>
      </w:r>
      <w:r w:rsidRPr="00D613A6">
        <w:rPr>
          <w:i/>
          <w:noProof w:val="0"/>
          <w:color w:val="17365D"/>
        </w:rPr>
        <w:t>euro</w:t>
      </w:r>
      <w:r w:rsidRPr="00D613A6">
        <w:rPr>
          <w:noProof w:val="0"/>
          <w:color w:val="17365D"/>
        </w:rPr>
        <w:t xml:space="preserve"> jeb 9,92 % vairāk nekā 2023. gadā. Ārvalstu finanšu palīdzība saņemta 1 829,1 milj. </w:t>
      </w:r>
      <w:r w:rsidRPr="00D613A6">
        <w:rPr>
          <w:i/>
          <w:noProof w:val="0"/>
          <w:color w:val="17365D"/>
        </w:rPr>
        <w:t xml:space="preserve">euro </w:t>
      </w:r>
      <w:r w:rsidRPr="00D613A6">
        <w:rPr>
          <w:noProof w:val="0"/>
          <w:color w:val="17365D"/>
        </w:rPr>
        <w:t xml:space="preserve">vērtībā, kas ir par 358,4 milj. </w:t>
      </w:r>
      <w:r w:rsidRPr="00D613A6">
        <w:rPr>
          <w:i/>
          <w:noProof w:val="0"/>
          <w:color w:val="17365D"/>
        </w:rPr>
        <w:t>euro</w:t>
      </w:r>
      <w:r w:rsidRPr="00D613A6">
        <w:rPr>
          <w:noProof w:val="0"/>
          <w:color w:val="17365D"/>
        </w:rPr>
        <w:t xml:space="preserve"> jeb 24,37 % vairāk nekā 2023. gadā. Transfertu ieņēmumi ir 1,6 milj. </w:t>
      </w:r>
      <w:r w:rsidRPr="00D613A6">
        <w:rPr>
          <w:i/>
          <w:noProof w:val="0"/>
          <w:color w:val="17365D"/>
        </w:rPr>
        <w:t xml:space="preserve">euro </w:t>
      </w:r>
      <w:r w:rsidRPr="00D613A6">
        <w:rPr>
          <w:noProof w:val="0"/>
          <w:color w:val="17365D"/>
        </w:rPr>
        <w:t>vērtībā, kas ir par 0,4 milj. </w:t>
      </w:r>
      <w:r w:rsidRPr="00D613A6">
        <w:rPr>
          <w:i/>
          <w:noProof w:val="0"/>
          <w:color w:val="17365D"/>
        </w:rPr>
        <w:t>euro</w:t>
      </w:r>
      <w:r w:rsidRPr="00D613A6">
        <w:rPr>
          <w:noProof w:val="0"/>
          <w:color w:val="17365D"/>
        </w:rPr>
        <w:t xml:space="preserve"> jeb 18,37 % mazāk nekā 2023. gadā, saņemtie ziedojumi un dāvinājumi ir 1,1 milj. </w:t>
      </w:r>
      <w:r w:rsidRPr="00D613A6">
        <w:rPr>
          <w:i/>
          <w:noProof w:val="0"/>
          <w:color w:val="17365D"/>
        </w:rPr>
        <w:t xml:space="preserve">euro </w:t>
      </w:r>
      <w:r w:rsidRPr="00D613A6">
        <w:rPr>
          <w:noProof w:val="0"/>
          <w:color w:val="17365D"/>
        </w:rPr>
        <w:t>vērtībā, kas ir par 0,2 milj. </w:t>
      </w:r>
      <w:r w:rsidRPr="00D613A6">
        <w:rPr>
          <w:i/>
          <w:noProof w:val="0"/>
          <w:color w:val="17365D"/>
        </w:rPr>
        <w:t>euro</w:t>
      </w:r>
      <w:r w:rsidRPr="00D613A6">
        <w:rPr>
          <w:noProof w:val="0"/>
          <w:color w:val="17365D"/>
        </w:rPr>
        <w:t xml:space="preserve"> jeb 21,27 % vairāk nekā 2023. gadā. </w:t>
      </w:r>
    </w:p>
    <w:p w14:paraId="4A1EC4C9" w14:textId="77777777" w:rsidR="00DC3A74" w:rsidRPr="00D613A6" w:rsidRDefault="00DC3A74" w:rsidP="00DC3A74">
      <w:pPr>
        <w:spacing w:before="160" w:after="0"/>
        <w:ind w:firstLine="0"/>
        <w:jc w:val="right"/>
        <w:rPr>
          <w:rFonts w:eastAsia="Arial Unicode MS"/>
          <w:i/>
          <w:color w:val="17365D"/>
          <w:sz w:val="20"/>
        </w:rPr>
      </w:pPr>
      <w:r w:rsidRPr="00D613A6">
        <w:rPr>
          <w:rFonts w:eastAsia="Arial Unicode MS"/>
          <w:i/>
          <w:color w:val="17365D"/>
          <w:sz w:val="20"/>
        </w:rPr>
        <w:t>6.1. tabula. Konsolidētā valsts budžeta</w:t>
      </w:r>
      <w:r w:rsidRPr="00D613A6">
        <w:rPr>
          <w:bCs/>
          <w:i/>
          <w:color w:val="17365D"/>
          <w:sz w:val="20"/>
          <w:szCs w:val="20"/>
        </w:rPr>
        <w:t xml:space="preserve"> ieņēmumu izmaiņas (</w:t>
      </w:r>
      <w:r w:rsidRPr="00D613A6">
        <w:rPr>
          <w:i/>
          <w:color w:val="17365D"/>
          <w:sz w:val="20"/>
        </w:rPr>
        <w:t>euro)</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D613A6" w:rsidRPr="00D613A6" w14:paraId="2B39DAAE" w14:textId="77777777" w:rsidTr="00321502">
        <w:trPr>
          <w:trHeight w:val="284"/>
        </w:trPr>
        <w:tc>
          <w:tcPr>
            <w:tcW w:w="901" w:type="dxa"/>
            <w:vMerge w:val="restart"/>
            <w:tcBorders>
              <w:top w:val="nil"/>
              <w:left w:val="nil"/>
              <w:bottom w:val="single" w:sz="4" w:space="0" w:color="17365D"/>
              <w:right w:val="nil"/>
            </w:tcBorders>
            <w:shd w:val="clear" w:color="auto" w:fill="B9CDE5"/>
            <w:vAlign w:val="center"/>
          </w:tcPr>
          <w:p w14:paraId="19704237"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02A900BD"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288E1473"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DB345AF"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11854D7A"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(1.– 2.)</w:t>
            </w:r>
          </w:p>
        </w:tc>
        <w:tc>
          <w:tcPr>
            <w:tcW w:w="1309" w:type="dxa"/>
            <w:vMerge w:val="restart"/>
            <w:tcBorders>
              <w:top w:val="nil"/>
              <w:left w:val="nil"/>
              <w:bottom w:val="single" w:sz="4" w:space="0" w:color="17365D"/>
              <w:right w:val="nil"/>
            </w:tcBorders>
            <w:shd w:val="clear" w:color="auto" w:fill="B9CDE5"/>
            <w:tcMar>
              <w:left w:w="57" w:type="dxa"/>
              <w:right w:w="57" w:type="dxa"/>
            </w:tcMar>
            <w:vAlign w:val="center"/>
          </w:tcPr>
          <w:p w14:paraId="41FA0162"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2F13F20E"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(3./2. x 100)</w:t>
            </w:r>
          </w:p>
        </w:tc>
      </w:tr>
      <w:tr w:rsidR="00D613A6" w:rsidRPr="00D613A6" w14:paraId="60862C27" w14:textId="77777777" w:rsidTr="009507AF">
        <w:trPr>
          <w:trHeight w:val="284"/>
        </w:trPr>
        <w:tc>
          <w:tcPr>
            <w:tcW w:w="901" w:type="dxa"/>
            <w:vMerge/>
            <w:tcBorders>
              <w:top w:val="single" w:sz="4" w:space="0" w:color="17365D"/>
              <w:left w:val="nil"/>
              <w:bottom w:val="nil"/>
              <w:right w:val="nil"/>
            </w:tcBorders>
            <w:shd w:val="clear" w:color="auto" w:fill="auto"/>
            <w:vAlign w:val="center"/>
          </w:tcPr>
          <w:p w14:paraId="658705A6" w14:textId="77777777" w:rsidR="00DC3A74" w:rsidRPr="00D613A6" w:rsidRDefault="00DC3A74" w:rsidP="009507AF">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07F0933D" w14:textId="77777777" w:rsidR="00DC3A74" w:rsidRPr="00D613A6" w:rsidRDefault="00DC3A74" w:rsidP="009507AF">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334D4E26" w14:textId="77777777" w:rsidR="00DC3A74" w:rsidRPr="00D613A6" w:rsidRDefault="00DC3A74" w:rsidP="009507AF">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37BBCA1E" w14:textId="77777777" w:rsidR="00DC3A74" w:rsidRPr="00D613A6" w:rsidRDefault="00DC3A74" w:rsidP="009507AF">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3A45B139" w14:textId="77777777" w:rsidR="00DC3A74" w:rsidRPr="00D613A6" w:rsidRDefault="00DC3A74" w:rsidP="009507AF">
            <w:pPr>
              <w:pStyle w:val="Pamatteksts1"/>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1EACA6C2" w14:textId="77777777" w:rsidR="00DC3A74" w:rsidRPr="00D613A6" w:rsidRDefault="00DC3A74" w:rsidP="009507AF">
            <w:pPr>
              <w:spacing w:before="60" w:afterLines="30" w:after="72"/>
              <w:ind w:firstLine="0"/>
              <w:jc w:val="center"/>
              <w:rPr>
                <w:color w:val="17365D"/>
                <w:sz w:val="20"/>
                <w:szCs w:val="20"/>
              </w:rPr>
            </w:pPr>
          </w:p>
        </w:tc>
      </w:tr>
      <w:tr w:rsidR="00D613A6" w:rsidRPr="00D613A6" w14:paraId="67DF4A95" w14:textId="77777777" w:rsidTr="009507AF">
        <w:tc>
          <w:tcPr>
            <w:tcW w:w="901" w:type="dxa"/>
            <w:tcBorders>
              <w:top w:val="nil"/>
              <w:left w:val="nil"/>
              <w:bottom w:val="single" w:sz="4" w:space="0" w:color="17365D"/>
              <w:right w:val="nil"/>
            </w:tcBorders>
            <w:shd w:val="clear" w:color="auto" w:fill="auto"/>
            <w:vAlign w:val="center"/>
          </w:tcPr>
          <w:p w14:paraId="1658BF8B"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65B8F622"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03C770DD"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15418117"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0D0208AE"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2213ACF7"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59485321" w14:textId="77777777" w:rsidTr="009507AF">
        <w:tc>
          <w:tcPr>
            <w:tcW w:w="901" w:type="dxa"/>
            <w:tcBorders>
              <w:top w:val="single" w:sz="4" w:space="0" w:color="17365D"/>
              <w:left w:val="nil"/>
              <w:bottom w:val="single" w:sz="4" w:space="0" w:color="17365D"/>
              <w:right w:val="nil"/>
            </w:tcBorders>
            <w:shd w:val="clear" w:color="auto" w:fill="auto"/>
            <w:vAlign w:val="center"/>
          </w:tcPr>
          <w:p w14:paraId="7C3D2193" w14:textId="77777777" w:rsidR="00DC3A74" w:rsidRPr="00D613A6" w:rsidRDefault="00DC3A74" w:rsidP="009507AF">
            <w:pPr>
              <w:pStyle w:val="Pamatteksts1"/>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503DF060" w14:textId="77777777" w:rsidR="00DC3A74" w:rsidRPr="00D613A6" w:rsidRDefault="00DC3A74" w:rsidP="009507AF">
            <w:pPr>
              <w:pStyle w:val="Pamatteksts1"/>
              <w:spacing w:before="40" w:after="40"/>
              <w:ind w:firstLine="0"/>
              <w:rPr>
                <w:b/>
                <w:color w:val="17365D"/>
                <w:sz w:val="20"/>
                <w:szCs w:val="20"/>
              </w:rPr>
            </w:pPr>
            <w:r w:rsidRPr="00D613A6">
              <w:rPr>
                <w:b/>
                <w:bCs/>
                <w:color w:val="17365D"/>
                <w:sz w:val="20"/>
                <w:szCs w:val="20"/>
              </w:rPr>
              <w:t>IEŅĒMUMI KOPĀ</w:t>
            </w:r>
          </w:p>
        </w:tc>
        <w:tc>
          <w:tcPr>
            <w:tcW w:w="1486" w:type="dxa"/>
            <w:tcBorders>
              <w:top w:val="single" w:sz="4" w:space="0" w:color="17365D"/>
              <w:left w:val="nil"/>
              <w:bottom w:val="single" w:sz="4" w:space="0" w:color="17365D"/>
              <w:right w:val="nil"/>
            </w:tcBorders>
            <w:shd w:val="clear" w:color="000000" w:fill="FFFFFF"/>
            <w:vAlign w:val="center"/>
          </w:tcPr>
          <w:p w14:paraId="733B62F8"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14 605 474 675</w:t>
            </w:r>
          </w:p>
        </w:tc>
        <w:tc>
          <w:tcPr>
            <w:tcW w:w="1486" w:type="dxa"/>
            <w:tcBorders>
              <w:top w:val="single" w:sz="4" w:space="0" w:color="17365D"/>
              <w:left w:val="nil"/>
              <w:bottom w:val="single" w:sz="4" w:space="0" w:color="17365D"/>
              <w:right w:val="nil"/>
            </w:tcBorders>
            <w:shd w:val="clear" w:color="000000" w:fill="FFFFFF"/>
            <w:vAlign w:val="center"/>
          </w:tcPr>
          <w:p w14:paraId="4850CAF7"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13 306 762 752</w:t>
            </w:r>
          </w:p>
        </w:tc>
        <w:tc>
          <w:tcPr>
            <w:tcW w:w="1623" w:type="dxa"/>
            <w:tcBorders>
              <w:top w:val="single" w:sz="4" w:space="0" w:color="17365D"/>
              <w:left w:val="nil"/>
              <w:bottom w:val="single" w:sz="4" w:space="0" w:color="17365D"/>
              <w:right w:val="nil"/>
            </w:tcBorders>
            <w:shd w:val="clear" w:color="auto" w:fill="auto"/>
            <w:vAlign w:val="bottom"/>
          </w:tcPr>
          <w:p w14:paraId="5E873DC5"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1 298 711 923</w:t>
            </w:r>
          </w:p>
        </w:tc>
        <w:tc>
          <w:tcPr>
            <w:tcW w:w="1309" w:type="dxa"/>
            <w:tcBorders>
              <w:top w:val="single" w:sz="4" w:space="0" w:color="17365D"/>
              <w:left w:val="nil"/>
              <w:bottom w:val="single" w:sz="4" w:space="0" w:color="17365D"/>
              <w:right w:val="nil"/>
            </w:tcBorders>
            <w:shd w:val="clear" w:color="auto" w:fill="auto"/>
            <w:vAlign w:val="bottom"/>
          </w:tcPr>
          <w:p w14:paraId="055998D2" w14:textId="77777777" w:rsidR="00DC3A74" w:rsidRPr="00D613A6" w:rsidRDefault="00DC3A74" w:rsidP="009507AF">
            <w:pPr>
              <w:pStyle w:val="Pamatteksts1"/>
              <w:spacing w:before="40" w:after="40"/>
              <w:ind w:firstLine="0"/>
              <w:jc w:val="right"/>
              <w:rPr>
                <w:b/>
                <w:bCs/>
                <w:color w:val="17365D"/>
                <w:sz w:val="20"/>
                <w:szCs w:val="20"/>
              </w:rPr>
            </w:pPr>
            <w:r w:rsidRPr="00D613A6">
              <w:rPr>
                <w:b/>
                <w:color w:val="17365D"/>
                <w:sz w:val="20"/>
                <w:szCs w:val="20"/>
              </w:rPr>
              <w:t>9.76</w:t>
            </w:r>
          </w:p>
        </w:tc>
      </w:tr>
      <w:tr w:rsidR="00D613A6" w:rsidRPr="00D613A6" w14:paraId="3211E3A2" w14:textId="77777777" w:rsidTr="009507AF">
        <w:tc>
          <w:tcPr>
            <w:tcW w:w="901" w:type="dxa"/>
            <w:tcBorders>
              <w:top w:val="single" w:sz="4" w:space="0" w:color="17365D"/>
              <w:left w:val="nil"/>
              <w:bottom w:val="single" w:sz="4" w:space="0" w:color="17365D"/>
              <w:right w:val="nil"/>
            </w:tcBorders>
            <w:shd w:val="clear" w:color="auto" w:fill="auto"/>
            <w:vAlign w:val="center"/>
          </w:tcPr>
          <w:p w14:paraId="46AA0496"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1.0.</w:t>
            </w:r>
          </w:p>
        </w:tc>
        <w:tc>
          <w:tcPr>
            <w:tcW w:w="2573" w:type="dxa"/>
            <w:tcBorders>
              <w:top w:val="single" w:sz="4" w:space="0" w:color="17365D"/>
              <w:left w:val="nil"/>
              <w:bottom w:val="single" w:sz="4" w:space="0" w:color="17365D"/>
              <w:right w:val="nil"/>
            </w:tcBorders>
            <w:shd w:val="clear" w:color="auto" w:fill="auto"/>
            <w:vAlign w:val="center"/>
          </w:tcPr>
          <w:p w14:paraId="037EC20B"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Nodokļu ieņēmumi</w:t>
            </w:r>
          </w:p>
        </w:tc>
        <w:tc>
          <w:tcPr>
            <w:tcW w:w="1486" w:type="dxa"/>
            <w:tcBorders>
              <w:top w:val="single" w:sz="4" w:space="0" w:color="17365D"/>
              <w:left w:val="nil"/>
              <w:bottom w:val="single" w:sz="4" w:space="0" w:color="17365D"/>
              <w:right w:val="nil"/>
            </w:tcBorders>
            <w:shd w:val="clear" w:color="FFFFFF" w:fill="FFFFFF"/>
            <w:vAlign w:val="center"/>
          </w:tcPr>
          <w:p w14:paraId="30E6C16A"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11 219 508 051</w:t>
            </w:r>
          </w:p>
        </w:tc>
        <w:tc>
          <w:tcPr>
            <w:tcW w:w="1486" w:type="dxa"/>
            <w:tcBorders>
              <w:top w:val="single" w:sz="4" w:space="0" w:color="17365D"/>
              <w:left w:val="nil"/>
              <w:bottom w:val="single" w:sz="4" w:space="0" w:color="17365D"/>
              <w:right w:val="nil"/>
            </w:tcBorders>
            <w:shd w:val="clear" w:color="FFFFFF" w:fill="FFFFFF"/>
            <w:vAlign w:val="center"/>
          </w:tcPr>
          <w:p w14:paraId="1F96D9CC"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10 474 792 962</w:t>
            </w:r>
          </w:p>
        </w:tc>
        <w:tc>
          <w:tcPr>
            <w:tcW w:w="1623" w:type="dxa"/>
            <w:tcBorders>
              <w:top w:val="single" w:sz="4" w:space="0" w:color="17365D"/>
              <w:left w:val="nil"/>
              <w:bottom w:val="single" w:sz="4" w:space="0" w:color="17365D"/>
              <w:right w:val="nil"/>
            </w:tcBorders>
            <w:shd w:val="clear" w:color="auto" w:fill="auto"/>
            <w:vAlign w:val="bottom"/>
          </w:tcPr>
          <w:p w14:paraId="792E3C3A"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744 715 089</w:t>
            </w:r>
          </w:p>
        </w:tc>
        <w:tc>
          <w:tcPr>
            <w:tcW w:w="1309" w:type="dxa"/>
            <w:tcBorders>
              <w:top w:val="single" w:sz="4" w:space="0" w:color="17365D"/>
              <w:left w:val="nil"/>
              <w:bottom w:val="single" w:sz="4" w:space="0" w:color="17365D"/>
              <w:right w:val="nil"/>
            </w:tcBorders>
            <w:shd w:val="clear" w:color="auto" w:fill="auto"/>
            <w:vAlign w:val="bottom"/>
          </w:tcPr>
          <w:p w14:paraId="7DC96418"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7.11</w:t>
            </w:r>
          </w:p>
        </w:tc>
      </w:tr>
      <w:tr w:rsidR="00D613A6" w:rsidRPr="00D613A6" w14:paraId="48D0F0F9" w14:textId="77777777" w:rsidTr="009507AF">
        <w:tc>
          <w:tcPr>
            <w:tcW w:w="901" w:type="dxa"/>
            <w:tcBorders>
              <w:top w:val="single" w:sz="4" w:space="0" w:color="17365D"/>
              <w:left w:val="nil"/>
              <w:bottom w:val="single" w:sz="4" w:space="0" w:color="17365D"/>
              <w:right w:val="nil"/>
            </w:tcBorders>
            <w:shd w:val="clear" w:color="auto" w:fill="auto"/>
            <w:vAlign w:val="center"/>
          </w:tcPr>
          <w:p w14:paraId="73567B84"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2.0.</w:t>
            </w:r>
          </w:p>
        </w:tc>
        <w:tc>
          <w:tcPr>
            <w:tcW w:w="2573" w:type="dxa"/>
            <w:tcBorders>
              <w:top w:val="single" w:sz="4" w:space="0" w:color="17365D"/>
              <w:left w:val="nil"/>
              <w:bottom w:val="single" w:sz="4" w:space="0" w:color="17365D"/>
              <w:right w:val="nil"/>
            </w:tcBorders>
            <w:shd w:val="clear" w:color="auto" w:fill="auto"/>
            <w:vAlign w:val="center"/>
          </w:tcPr>
          <w:p w14:paraId="57CD6399" w14:textId="77777777" w:rsidR="00DC3A74" w:rsidRPr="00D613A6" w:rsidRDefault="00DC3A74" w:rsidP="009507AF">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486" w:type="dxa"/>
            <w:tcBorders>
              <w:top w:val="single" w:sz="4" w:space="0" w:color="17365D"/>
              <w:left w:val="nil"/>
              <w:bottom w:val="single" w:sz="4" w:space="0" w:color="17365D"/>
              <w:right w:val="nil"/>
            </w:tcBorders>
            <w:shd w:val="clear" w:color="000000" w:fill="FFFFFF"/>
            <w:vAlign w:val="center"/>
          </w:tcPr>
          <w:p w14:paraId="7D72CD1B"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1 198 459 567</w:t>
            </w:r>
          </w:p>
        </w:tc>
        <w:tc>
          <w:tcPr>
            <w:tcW w:w="1486" w:type="dxa"/>
            <w:tcBorders>
              <w:top w:val="single" w:sz="4" w:space="0" w:color="17365D"/>
              <w:left w:val="nil"/>
              <w:bottom w:val="single" w:sz="4" w:space="0" w:color="17365D"/>
              <w:right w:val="nil"/>
            </w:tcBorders>
            <w:shd w:val="clear" w:color="000000" w:fill="FFFFFF"/>
            <w:vAlign w:val="center"/>
          </w:tcPr>
          <w:p w14:paraId="38336D8F"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1 034 801 429</w:t>
            </w:r>
          </w:p>
        </w:tc>
        <w:tc>
          <w:tcPr>
            <w:tcW w:w="1623" w:type="dxa"/>
            <w:tcBorders>
              <w:top w:val="single" w:sz="4" w:space="0" w:color="17365D"/>
              <w:left w:val="nil"/>
              <w:bottom w:val="single" w:sz="4" w:space="0" w:color="17365D"/>
              <w:right w:val="nil"/>
            </w:tcBorders>
            <w:shd w:val="clear" w:color="auto" w:fill="auto"/>
            <w:vAlign w:val="bottom"/>
          </w:tcPr>
          <w:p w14:paraId="27FEDE6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163 658 138</w:t>
            </w:r>
          </w:p>
        </w:tc>
        <w:tc>
          <w:tcPr>
            <w:tcW w:w="1309" w:type="dxa"/>
            <w:tcBorders>
              <w:top w:val="single" w:sz="4" w:space="0" w:color="17365D"/>
              <w:left w:val="nil"/>
              <w:bottom w:val="single" w:sz="4" w:space="0" w:color="17365D"/>
              <w:right w:val="nil"/>
            </w:tcBorders>
            <w:shd w:val="clear" w:color="auto" w:fill="auto"/>
            <w:vAlign w:val="bottom"/>
          </w:tcPr>
          <w:p w14:paraId="77A67B31"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15.82</w:t>
            </w:r>
          </w:p>
        </w:tc>
      </w:tr>
      <w:tr w:rsidR="00D613A6" w:rsidRPr="00D613A6" w14:paraId="481F8874" w14:textId="77777777" w:rsidTr="009507AF">
        <w:tc>
          <w:tcPr>
            <w:tcW w:w="901" w:type="dxa"/>
            <w:tcBorders>
              <w:top w:val="single" w:sz="4" w:space="0" w:color="17365D"/>
              <w:left w:val="nil"/>
              <w:bottom w:val="single" w:sz="4" w:space="0" w:color="17365D"/>
              <w:right w:val="nil"/>
            </w:tcBorders>
            <w:shd w:val="clear" w:color="auto" w:fill="auto"/>
            <w:vAlign w:val="center"/>
          </w:tcPr>
          <w:p w14:paraId="12B96923"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6E030DAC"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Maksas pakalpojumi un citi pašu ieņēmumi</w:t>
            </w:r>
          </w:p>
        </w:tc>
        <w:tc>
          <w:tcPr>
            <w:tcW w:w="1486" w:type="dxa"/>
            <w:tcBorders>
              <w:top w:val="single" w:sz="4" w:space="0" w:color="17365D"/>
              <w:left w:val="nil"/>
              <w:bottom w:val="single" w:sz="4" w:space="0" w:color="17365D"/>
              <w:right w:val="nil"/>
            </w:tcBorders>
            <w:shd w:val="clear" w:color="000000" w:fill="FFFFFF"/>
            <w:vAlign w:val="center"/>
          </w:tcPr>
          <w:p w14:paraId="063074E7"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355 744 096</w:t>
            </w:r>
          </w:p>
        </w:tc>
        <w:tc>
          <w:tcPr>
            <w:tcW w:w="1486" w:type="dxa"/>
            <w:tcBorders>
              <w:top w:val="single" w:sz="4" w:space="0" w:color="17365D"/>
              <w:left w:val="nil"/>
              <w:bottom w:val="single" w:sz="4" w:space="0" w:color="17365D"/>
              <w:right w:val="nil"/>
            </w:tcBorders>
            <w:shd w:val="clear" w:color="000000" w:fill="FFFFFF"/>
            <w:vAlign w:val="center"/>
          </w:tcPr>
          <w:p w14:paraId="0C016750"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323 634 358</w:t>
            </w:r>
          </w:p>
        </w:tc>
        <w:tc>
          <w:tcPr>
            <w:tcW w:w="1623" w:type="dxa"/>
            <w:tcBorders>
              <w:top w:val="single" w:sz="4" w:space="0" w:color="17365D"/>
              <w:left w:val="nil"/>
              <w:bottom w:val="single" w:sz="4" w:space="0" w:color="17365D"/>
              <w:right w:val="nil"/>
            </w:tcBorders>
            <w:shd w:val="clear" w:color="auto" w:fill="auto"/>
            <w:vAlign w:val="bottom"/>
          </w:tcPr>
          <w:p w14:paraId="2CE50DAE"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32 109 738</w:t>
            </w:r>
          </w:p>
        </w:tc>
        <w:tc>
          <w:tcPr>
            <w:tcW w:w="1309" w:type="dxa"/>
            <w:tcBorders>
              <w:top w:val="single" w:sz="4" w:space="0" w:color="17365D"/>
              <w:left w:val="nil"/>
              <w:bottom w:val="single" w:sz="4" w:space="0" w:color="17365D"/>
              <w:right w:val="nil"/>
            </w:tcBorders>
            <w:shd w:val="clear" w:color="auto" w:fill="auto"/>
            <w:vAlign w:val="bottom"/>
          </w:tcPr>
          <w:p w14:paraId="6A4A86BA"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9.92</w:t>
            </w:r>
          </w:p>
        </w:tc>
      </w:tr>
      <w:tr w:rsidR="00D613A6" w:rsidRPr="00D613A6" w14:paraId="562FA1D8" w14:textId="77777777" w:rsidTr="009507AF">
        <w:tc>
          <w:tcPr>
            <w:tcW w:w="901" w:type="dxa"/>
            <w:tcBorders>
              <w:top w:val="single" w:sz="4" w:space="0" w:color="17365D"/>
              <w:left w:val="nil"/>
              <w:bottom w:val="single" w:sz="4" w:space="0" w:color="17365D"/>
              <w:right w:val="nil"/>
            </w:tcBorders>
            <w:shd w:val="clear" w:color="auto" w:fill="auto"/>
            <w:vAlign w:val="center"/>
          </w:tcPr>
          <w:p w14:paraId="7CC29FC8"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5178AD19" w14:textId="77777777" w:rsidR="00DC3A74" w:rsidRPr="00D613A6" w:rsidRDefault="00DC3A74" w:rsidP="009507AF">
            <w:pPr>
              <w:pStyle w:val="Pamatteksts1"/>
              <w:spacing w:before="40" w:after="40"/>
              <w:ind w:firstLine="0"/>
              <w:jc w:val="left"/>
              <w:rPr>
                <w:bCs/>
                <w:color w:val="17365D"/>
                <w:sz w:val="20"/>
                <w:szCs w:val="20"/>
              </w:rPr>
            </w:pPr>
            <w:r w:rsidRPr="00D613A6">
              <w:rPr>
                <w:bCs/>
                <w:color w:val="17365D"/>
                <w:sz w:val="20"/>
                <w:szCs w:val="20"/>
              </w:rPr>
              <w:t>Ārvalstu finanšu palīdzība</w:t>
            </w:r>
          </w:p>
        </w:tc>
        <w:tc>
          <w:tcPr>
            <w:tcW w:w="1486" w:type="dxa"/>
            <w:tcBorders>
              <w:top w:val="single" w:sz="4" w:space="0" w:color="17365D"/>
              <w:left w:val="nil"/>
              <w:bottom w:val="single" w:sz="4" w:space="0" w:color="17365D"/>
              <w:right w:val="nil"/>
            </w:tcBorders>
            <w:shd w:val="clear" w:color="000000" w:fill="FFFFFF"/>
            <w:vAlign w:val="center"/>
          </w:tcPr>
          <w:p w14:paraId="1D957239"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1 829 100 204</w:t>
            </w:r>
          </w:p>
        </w:tc>
        <w:tc>
          <w:tcPr>
            <w:tcW w:w="1486" w:type="dxa"/>
            <w:tcBorders>
              <w:top w:val="single" w:sz="4" w:space="0" w:color="17365D"/>
              <w:left w:val="nil"/>
              <w:bottom w:val="single" w:sz="4" w:space="0" w:color="17365D"/>
              <w:right w:val="nil"/>
            </w:tcBorders>
            <w:shd w:val="clear" w:color="000000" w:fill="FFFFFF"/>
            <w:vAlign w:val="center"/>
          </w:tcPr>
          <w:p w14:paraId="094BBBE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1 470 700 350</w:t>
            </w:r>
          </w:p>
        </w:tc>
        <w:tc>
          <w:tcPr>
            <w:tcW w:w="1623" w:type="dxa"/>
            <w:tcBorders>
              <w:top w:val="single" w:sz="4" w:space="0" w:color="17365D"/>
              <w:left w:val="nil"/>
              <w:bottom w:val="single" w:sz="4" w:space="0" w:color="17365D"/>
              <w:right w:val="nil"/>
            </w:tcBorders>
            <w:shd w:val="clear" w:color="auto" w:fill="auto"/>
            <w:vAlign w:val="bottom"/>
          </w:tcPr>
          <w:p w14:paraId="3973E2BC"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358 399 854</w:t>
            </w:r>
          </w:p>
        </w:tc>
        <w:tc>
          <w:tcPr>
            <w:tcW w:w="1309" w:type="dxa"/>
            <w:tcBorders>
              <w:top w:val="single" w:sz="4" w:space="0" w:color="17365D"/>
              <w:left w:val="nil"/>
              <w:bottom w:val="single" w:sz="4" w:space="0" w:color="17365D"/>
              <w:right w:val="nil"/>
            </w:tcBorders>
            <w:shd w:val="clear" w:color="auto" w:fill="auto"/>
            <w:vAlign w:val="bottom"/>
          </w:tcPr>
          <w:p w14:paraId="2DCE1606"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24.37</w:t>
            </w:r>
          </w:p>
        </w:tc>
      </w:tr>
      <w:tr w:rsidR="00D613A6" w:rsidRPr="00D613A6" w14:paraId="3E992B19" w14:textId="77777777" w:rsidTr="009507AF">
        <w:tc>
          <w:tcPr>
            <w:tcW w:w="901" w:type="dxa"/>
            <w:tcBorders>
              <w:top w:val="single" w:sz="4" w:space="0" w:color="17365D"/>
              <w:left w:val="nil"/>
              <w:bottom w:val="single" w:sz="4" w:space="0" w:color="17365D"/>
              <w:right w:val="nil"/>
            </w:tcBorders>
            <w:shd w:val="clear" w:color="auto" w:fill="auto"/>
            <w:vAlign w:val="center"/>
          </w:tcPr>
          <w:p w14:paraId="7C60C81D"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27E9E8E9"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Transferti</w:t>
            </w:r>
          </w:p>
        </w:tc>
        <w:tc>
          <w:tcPr>
            <w:tcW w:w="1486" w:type="dxa"/>
            <w:tcBorders>
              <w:top w:val="single" w:sz="4" w:space="0" w:color="17365D"/>
              <w:left w:val="nil"/>
              <w:bottom w:val="single" w:sz="4" w:space="0" w:color="17365D"/>
              <w:right w:val="nil"/>
            </w:tcBorders>
            <w:shd w:val="clear" w:color="000000" w:fill="FFFFFF"/>
            <w:vAlign w:val="center"/>
          </w:tcPr>
          <w:p w14:paraId="53990D88"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1 592 748</w:t>
            </w:r>
          </w:p>
        </w:tc>
        <w:tc>
          <w:tcPr>
            <w:tcW w:w="1486" w:type="dxa"/>
            <w:tcBorders>
              <w:top w:val="single" w:sz="4" w:space="0" w:color="17365D"/>
              <w:left w:val="nil"/>
              <w:bottom w:val="single" w:sz="4" w:space="0" w:color="17365D"/>
              <w:right w:val="nil"/>
            </w:tcBorders>
            <w:shd w:val="clear" w:color="000000" w:fill="FFFFFF"/>
            <w:vAlign w:val="center"/>
          </w:tcPr>
          <w:p w14:paraId="31A900E9"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1 951 287</w:t>
            </w:r>
          </w:p>
        </w:tc>
        <w:tc>
          <w:tcPr>
            <w:tcW w:w="1623" w:type="dxa"/>
            <w:tcBorders>
              <w:top w:val="single" w:sz="4" w:space="0" w:color="17365D"/>
              <w:left w:val="nil"/>
              <w:bottom w:val="single" w:sz="4" w:space="0" w:color="17365D"/>
              <w:right w:val="nil"/>
            </w:tcBorders>
            <w:shd w:val="clear" w:color="auto" w:fill="auto"/>
            <w:vAlign w:val="bottom"/>
          </w:tcPr>
          <w:p w14:paraId="3B94B0B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-358 539</w:t>
            </w:r>
          </w:p>
        </w:tc>
        <w:tc>
          <w:tcPr>
            <w:tcW w:w="1309" w:type="dxa"/>
            <w:tcBorders>
              <w:top w:val="single" w:sz="4" w:space="0" w:color="17365D"/>
              <w:left w:val="nil"/>
              <w:bottom w:val="single" w:sz="4" w:space="0" w:color="17365D"/>
              <w:right w:val="nil"/>
            </w:tcBorders>
            <w:shd w:val="clear" w:color="auto" w:fill="auto"/>
            <w:vAlign w:val="bottom"/>
          </w:tcPr>
          <w:p w14:paraId="524BBCDC"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-18.37</w:t>
            </w:r>
          </w:p>
        </w:tc>
      </w:tr>
      <w:tr w:rsidR="00D613A6" w:rsidRPr="00D613A6" w14:paraId="0A1507B8" w14:textId="77777777" w:rsidTr="009507AF">
        <w:tc>
          <w:tcPr>
            <w:tcW w:w="901" w:type="dxa"/>
            <w:tcBorders>
              <w:top w:val="single" w:sz="4" w:space="0" w:color="17365D"/>
              <w:left w:val="nil"/>
              <w:bottom w:val="nil"/>
              <w:right w:val="nil"/>
            </w:tcBorders>
            <w:shd w:val="clear" w:color="auto" w:fill="auto"/>
            <w:vAlign w:val="center"/>
          </w:tcPr>
          <w:p w14:paraId="15173C7F"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6.0.</w:t>
            </w:r>
          </w:p>
        </w:tc>
        <w:tc>
          <w:tcPr>
            <w:tcW w:w="2573" w:type="dxa"/>
            <w:tcBorders>
              <w:top w:val="single" w:sz="4" w:space="0" w:color="17365D"/>
              <w:left w:val="nil"/>
              <w:bottom w:val="nil"/>
              <w:right w:val="nil"/>
            </w:tcBorders>
            <w:shd w:val="clear" w:color="auto" w:fill="auto"/>
            <w:vAlign w:val="center"/>
          </w:tcPr>
          <w:p w14:paraId="37788285"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Ziedojumi un dāvinājumi</w:t>
            </w:r>
          </w:p>
        </w:tc>
        <w:tc>
          <w:tcPr>
            <w:tcW w:w="1486" w:type="dxa"/>
            <w:tcBorders>
              <w:top w:val="single" w:sz="4" w:space="0" w:color="17365D"/>
              <w:left w:val="nil"/>
              <w:bottom w:val="nil"/>
              <w:right w:val="nil"/>
            </w:tcBorders>
            <w:shd w:val="clear" w:color="000000" w:fill="FFFFFF"/>
            <w:vAlign w:val="center"/>
          </w:tcPr>
          <w:p w14:paraId="2533EC81"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1 070 009</w:t>
            </w:r>
          </w:p>
        </w:tc>
        <w:tc>
          <w:tcPr>
            <w:tcW w:w="1486" w:type="dxa"/>
            <w:tcBorders>
              <w:top w:val="single" w:sz="4" w:space="0" w:color="17365D"/>
              <w:left w:val="nil"/>
              <w:bottom w:val="nil"/>
              <w:right w:val="nil"/>
            </w:tcBorders>
            <w:shd w:val="clear" w:color="000000" w:fill="FFFFFF"/>
            <w:vAlign w:val="center"/>
          </w:tcPr>
          <w:p w14:paraId="5404CF9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882 366</w:t>
            </w:r>
          </w:p>
        </w:tc>
        <w:tc>
          <w:tcPr>
            <w:tcW w:w="1623" w:type="dxa"/>
            <w:tcBorders>
              <w:top w:val="single" w:sz="4" w:space="0" w:color="17365D"/>
              <w:left w:val="nil"/>
              <w:bottom w:val="nil"/>
              <w:right w:val="nil"/>
            </w:tcBorders>
            <w:shd w:val="clear" w:color="auto" w:fill="auto"/>
            <w:vAlign w:val="bottom"/>
          </w:tcPr>
          <w:p w14:paraId="579C3BE1"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187 643</w:t>
            </w:r>
          </w:p>
        </w:tc>
        <w:tc>
          <w:tcPr>
            <w:tcW w:w="1309" w:type="dxa"/>
            <w:tcBorders>
              <w:top w:val="single" w:sz="4" w:space="0" w:color="17365D"/>
              <w:left w:val="nil"/>
              <w:bottom w:val="nil"/>
              <w:right w:val="nil"/>
            </w:tcBorders>
            <w:shd w:val="clear" w:color="auto" w:fill="auto"/>
            <w:vAlign w:val="bottom"/>
          </w:tcPr>
          <w:p w14:paraId="1FB1FBC9"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21.27</w:t>
            </w:r>
          </w:p>
        </w:tc>
      </w:tr>
      <w:tr w:rsidR="00D613A6" w:rsidRPr="00D613A6" w14:paraId="15B48E72" w14:textId="77777777" w:rsidTr="009507AF">
        <w:tc>
          <w:tcPr>
            <w:tcW w:w="901" w:type="dxa"/>
            <w:tcBorders>
              <w:top w:val="nil"/>
              <w:left w:val="nil"/>
              <w:bottom w:val="nil"/>
              <w:right w:val="nil"/>
            </w:tcBorders>
            <w:shd w:val="clear" w:color="auto" w:fill="B9CDE5"/>
            <w:vAlign w:val="center"/>
          </w:tcPr>
          <w:p w14:paraId="63D5CC13" w14:textId="77777777" w:rsidR="00DC3A74" w:rsidRPr="00D613A6" w:rsidRDefault="00DC3A74" w:rsidP="009507AF">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1C02D184" w14:textId="77777777" w:rsidR="00DC3A74" w:rsidRPr="00D613A6" w:rsidRDefault="00DC3A74" w:rsidP="009507AF">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332C7BE9" w14:textId="77777777" w:rsidR="00DC3A74" w:rsidRPr="00D613A6" w:rsidRDefault="00DC3A74" w:rsidP="009507AF">
            <w:pPr>
              <w:pStyle w:val="Pamatteksts1"/>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4C9A7402" w14:textId="77777777" w:rsidR="00DC3A74" w:rsidRPr="00D613A6" w:rsidRDefault="00DC3A74" w:rsidP="009507AF">
            <w:pPr>
              <w:pStyle w:val="Pamatteksts1"/>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5C614CD0" w14:textId="77777777" w:rsidR="00DC3A74" w:rsidRPr="00D613A6" w:rsidRDefault="00DC3A74" w:rsidP="009507AF">
            <w:pPr>
              <w:pStyle w:val="Pamatteksts1"/>
              <w:spacing w:before="60" w:after="60"/>
              <w:ind w:left="-104" w:right="-112" w:firstLine="0"/>
              <w:jc w:val="right"/>
              <w:rPr>
                <w:bCs/>
                <w:color w:val="17365D"/>
                <w:sz w:val="20"/>
                <w:szCs w:val="20"/>
              </w:rPr>
            </w:pPr>
          </w:p>
        </w:tc>
        <w:tc>
          <w:tcPr>
            <w:tcW w:w="1309" w:type="dxa"/>
            <w:tcBorders>
              <w:top w:val="nil"/>
              <w:left w:val="nil"/>
              <w:bottom w:val="nil"/>
              <w:right w:val="nil"/>
            </w:tcBorders>
            <w:shd w:val="clear" w:color="auto" w:fill="B9CDE5"/>
            <w:vAlign w:val="center"/>
          </w:tcPr>
          <w:p w14:paraId="1BCCAA78" w14:textId="77777777" w:rsidR="00DC3A74" w:rsidRPr="00D613A6" w:rsidRDefault="00DC3A74" w:rsidP="009507AF">
            <w:pPr>
              <w:pStyle w:val="Pamatteksts1"/>
              <w:spacing w:before="40" w:after="40"/>
              <w:ind w:firstLine="0"/>
              <w:jc w:val="right"/>
              <w:rPr>
                <w:bCs/>
                <w:color w:val="17365D"/>
                <w:sz w:val="20"/>
                <w:szCs w:val="20"/>
              </w:rPr>
            </w:pPr>
          </w:p>
        </w:tc>
      </w:tr>
    </w:tbl>
    <w:p w14:paraId="2B809110" w14:textId="77777777" w:rsidR="00DC3A74" w:rsidRPr="00D613A6" w:rsidRDefault="00DC3A74" w:rsidP="00D33F96">
      <w:pPr>
        <w:pStyle w:val="Pamatteksts1"/>
        <w:rPr>
          <w:noProof w:val="0"/>
          <w:color w:val="17365D"/>
        </w:rPr>
      </w:pPr>
    </w:p>
    <w:p w14:paraId="5E5D1E2E" w14:textId="4B1000A1" w:rsidR="003A6F6C" w:rsidRPr="00D613A6" w:rsidRDefault="008645C9" w:rsidP="003A6F6C">
      <w:pPr>
        <w:pStyle w:val="Pamatteksts1"/>
        <w:rPr>
          <w:noProof w:val="0"/>
          <w:color w:val="17365D"/>
        </w:rPr>
      </w:pPr>
      <w:r w:rsidRPr="00D613A6">
        <w:rPr>
          <w:b/>
          <w:color w:val="17365D"/>
        </w:rPr>
        <mc:AlternateContent>
          <mc:Choice Requires="wps">
            <w:drawing>
              <wp:anchor distT="0" distB="0" distL="114300" distR="114300" simplePos="0" relativeHeight="251655680" behindDoc="1" locked="0" layoutInCell="1" allowOverlap="1" wp14:anchorId="2B88D1A8" wp14:editId="6B760014">
                <wp:simplePos x="0" y="0"/>
                <wp:positionH relativeFrom="column">
                  <wp:posOffset>4265930</wp:posOffset>
                </wp:positionH>
                <wp:positionV relativeFrom="paragraph">
                  <wp:posOffset>91440</wp:posOffset>
                </wp:positionV>
                <wp:extent cx="1680845" cy="895350"/>
                <wp:effectExtent l="0" t="0" r="14605" b="19050"/>
                <wp:wrapTight wrapText="bothSides">
                  <wp:wrapPolygon edited="0">
                    <wp:start x="0" y="0"/>
                    <wp:lineTo x="0" y="21600"/>
                    <wp:lineTo x="21543" y="21600"/>
                    <wp:lineTo x="21543" y="0"/>
                    <wp:lineTo x="0" y="0"/>
                  </wp:wrapPolygon>
                </wp:wrapTight>
                <wp:docPr id="26" name="Rectangle 26"/>
                <wp:cNvGraphicFramePr/>
                <a:graphic xmlns:a="http://schemas.openxmlformats.org/drawingml/2006/main">
                  <a:graphicData uri="http://schemas.microsoft.com/office/word/2010/wordprocessingShape">
                    <wps:wsp>
                      <wps:cNvSpPr/>
                      <wps:spPr>
                        <a:xfrm>
                          <a:off x="0" y="0"/>
                          <a:ext cx="1680845" cy="895350"/>
                        </a:xfrm>
                        <a:prstGeom prst="rect">
                          <a:avLst/>
                        </a:prstGeom>
                        <a:solidFill>
                          <a:sysClr val="window" lastClr="FFFFFF"/>
                        </a:solidFill>
                        <a:ln w="25400" cap="flat" cmpd="sng" algn="ctr">
                          <a:solidFill>
                            <a:srgbClr val="17365D"/>
                          </a:solidFill>
                          <a:prstDash val="sysDot"/>
                        </a:ln>
                        <a:effectLst/>
                      </wps:spPr>
                      <wps:txbx>
                        <w:txbxContent>
                          <w:p w14:paraId="05280D36" w14:textId="77777777" w:rsidR="000A5BFC" w:rsidRPr="00E77E55" w:rsidRDefault="000A5BFC" w:rsidP="004B1D14">
                            <w:pPr>
                              <w:ind w:firstLine="0"/>
                              <w:jc w:val="center"/>
                              <w:rPr>
                                <w:color w:val="17365D"/>
                              </w:rPr>
                            </w:pPr>
                            <w:r w:rsidRPr="00E77E55">
                              <w:rPr>
                                <w:color w:val="17365D"/>
                              </w:rPr>
                              <w:t>Valsts konsolidētā budžeta izdevumi –</w:t>
                            </w:r>
                          </w:p>
                          <w:p w14:paraId="6C8F7854" w14:textId="272ABD07" w:rsidR="000A5BFC" w:rsidRPr="00E77E55" w:rsidRDefault="000A5BFC" w:rsidP="00364336">
                            <w:pPr>
                              <w:ind w:firstLine="0"/>
                              <w:jc w:val="center"/>
                              <w:rPr>
                                <w:b/>
                                <w:bCs/>
                                <w:color w:val="17365D"/>
                              </w:rPr>
                            </w:pPr>
                            <w:r>
                              <w:rPr>
                                <w:b/>
                                <w:bCs/>
                                <w:color w:val="17365D"/>
                              </w:rPr>
                              <w:t xml:space="preserve"> 15 257 522 638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8D1A8" id="Rectangle 26" o:spid="_x0000_s1027" style="position:absolute;left:0;text-align:left;margin-left:335.9pt;margin-top:7.2pt;width:132.35pt;height: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" fillcolor="window" strokecolor="#17365d" strokeweight="2pt">
                <v:stroke dashstyle="1 1"/>
                <v:textbox>
                  <w:txbxContent>
                    <w:p w14:paraId="05280D36" w14:textId="77777777" w:rsidR="000A5BFC" w:rsidRPr="00E77E55" w:rsidRDefault="000A5BFC" w:rsidP="004B1D14">
                      <w:pPr>
                        <w:ind w:firstLine="0"/>
                        <w:jc w:val="center"/>
                        <w:rPr>
                          <w:color w:val="17365D"/>
                        </w:rPr>
                      </w:pPr>
                      <w:r w:rsidRPr="00E77E55">
                        <w:rPr>
                          <w:color w:val="17365D"/>
                        </w:rPr>
                        <w:t>Valsts konsolidētā budžeta izdevumi –</w:t>
                      </w:r>
                    </w:p>
                    <w:p w14:paraId="6C8F7854" w14:textId="272ABD07" w:rsidR="000A5BFC" w:rsidRPr="00E77E55" w:rsidRDefault="000A5BFC" w:rsidP="00364336">
                      <w:pPr>
                        <w:ind w:firstLine="0"/>
                        <w:jc w:val="center"/>
                        <w:rPr>
                          <w:b/>
                          <w:bCs/>
                          <w:color w:val="17365D"/>
                        </w:rPr>
                      </w:pPr>
                      <w:r>
                        <w:rPr>
                          <w:b/>
                          <w:bCs/>
                          <w:color w:val="17365D"/>
                        </w:rPr>
                        <w:t xml:space="preserve"> 15 257 522 638 </w:t>
                      </w:r>
                      <w:r w:rsidRPr="00E77E55">
                        <w:rPr>
                          <w:i/>
                          <w:color w:val="17365D"/>
                        </w:rPr>
                        <w:t>euro</w:t>
                      </w:r>
                    </w:p>
                  </w:txbxContent>
                </v:textbox>
                <w10:wrap type="tight"/>
              </v:rect>
            </w:pict>
          </mc:Fallback>
        </mc:AlternateContent>
      </w:r>
      <w:r w:rsidR="007A09E6" w:rsidRPr="00D613A6">
        <w:rPr>
          <w:noProof w:val="0"/>
          <w:color w:val="17365D"/>
          <w:u w:val="single"/>
        </w:rPr>
        <w:t>Valsts konsolidētā budžeta izdevumi</w:t>
      </w:r>
      <w:r w:rsidR="007A09E6" w:rsidRPr="00D613A6">
        <w:rPr>
          <w:noProof w:val="0"/>
          <w:color w:val="17365D"/>
        </w:rPr>
        <w:t xml:space="preserve"> 20</w:t>
      </w:r>
      <w:r w:rsidR="00611E9E" w:rsidRPr="00D613A6">
        <w:rPr>
          <w:noProof w:val="0"/>
          <w:color w:val="17365D"/>
        </w:rPr>
        <w:t>2</w:t>
      </w:r>
      <w:r w:rsidR="00993541" w:rsidRPr="00D613A6">
        <w:rPr>
          <w:noProof w:val="0"/>
          <w:color w:val="17365D"/>
        </w:rPr>
        <w:t>4</w:t>
      </w:r>
      <w:r w:rsidR="00687F81" w:rsidRPr="00D613A6">
        <w:rPr>
          <w:noProof w:val="0"/>
          <w:color w:val="17365D"/>
        </w:rPr>
        <w:t>. </w:t>
      </w:r>
      <w:r w:rsidR="007A09E6" w:rsidRPr="00D613A6">
        <w:rPr>
          <w:noProof w:val="0"/>
          <w:color w:val="17365D"/>
        </w:rPr>
        <w:t xml:space="preserve">gadā ir </w:t>
      </w:r>
      <w:r w:rsidR="00A67E1C" w:rsidRPr="00D613A6">
        <w:rPr>
          <w:noProof w:val="0"/>
          <w:color w:val="17365D"/>
        </w:rPr>
        <w:t>15</w:t>
      </w:r>
      <w:r w:rsidR="00536DFF" w:rsidRPr="00D613A6">
        <w:rPr>
          <w:noProof w:val="0"/>
          <w:color w:val="17365D"/>
        </w:rPr>
        <w:t> </w:t>
      </w:r>
      <w:r w:rsidR="00A67E1C" w:rsidRPr="00D613A6">
        <w:rPr>
          <w:noProof w:val="0"/>
          <w:color w:val="17365D"/>
        </w:rPr>
        <w:t>257</w:t>
      </w:r>
      <w:r w:rsidR="007A09E6" w:rsidRPr="00D613A6">
        <w:rPr>
          <w:noProof w:val="0"/>
          <w:color w:val="17365D"/>
        </w:rPr>
        <w:t>,</w:t>
      </w:r>
      <w:r w:rsidR="00A67E1C" w:rsidRPr="00D613A6">
        <w:rPr>
          <w:noProof w:val="0"/>
          <w:color w:val="17365D"/>
        </w:rPr>
        <w:t>5</w:t>
      </w:r>
      <w:r w:rsidR="0096552B" w:rsidRPr="00D613A6">
        <w:rPr>
          <w:noProof w:val="0"/>
          <w:color w:val="17365D"/>
        </w:rPr>
        <w:t> </w:t>
      </w:r>
      <w:r w:rsidR="007A09E6" w:rsidRPr="00D613A6">
        <w:rPr>
          <w:noProof w:val="0"/>
          <w:color w:val="17365D"/>
        </w:rPr>
        <w:t>milj</w:t>
      </w:r>
      <w:r w:rsidR="008A1FEA" w:rsidRPr="00D613A6">
        <w:rPr>
          <w:noProof w:val="0"/>
          <w:color w:val="17365D"/>
        </w:rPr>
        <w:t>. </w:t>
      </w:r>
      <w:r w:rsidR="008A1FEA" w:rsidRPr="00D613A6">
        <w:rPr>
          <w:i/>
          <w:noProof w:val="0"/>
          <w:color w:val="17365D"/>
        </w:rPr>
        <w:t>euro</w:t>
      </w:r>
      <w:r w:rsidR="008A1FEA" w:rsidRPr="00D613A6">
        <w:rPr>
          <w:noProof w:val="0"/>
          <w:color w:val="17365D"/>
        </w:rPr>
        <w:t xml:space="preserve"> </w:t>
      </w:r>
      <w:r w:rsidR="007A09E6" w:rsidRPr="00D613A6">
        <w:rPr>
          <w:noProof w:val="0"/>
          <w:color w:val="17365D"/>
        </w:rPr>
        <w:t xml:space="preserve">vērtībā, kas ir par </w:t>
      </w:r>
      <w:r w:rsidR="00A67E1C" w:rsidRPr="00D613A6">
        <w:rPr>
          <w:noProof w:val="0"/>
          <w:color w:val="17365D"/>
        </w:rPr>
        <w:t>776</w:t>
      </w:r>
      <w:r w:rsidR="007A09E6" w:rsidRPr="00D613A6">
        <w:rPr>
          <w:noProof w:val="0"/>
          <w:color w:val="17365D"/>
        </w:rPr>
        <w:t>,</w:t>
      </w:r>
      <w:r w:rsidR="00A67E1C" w:rsidRPr="00D613A6">
        <w:rPr>
          <w:noProof w:val="0"/>
          <w:color w:val="17365D"/>
        </w:rPr>
        <w:t>7</w:t>
      </w:r>
      <w:r w:rsidR="0096552B" w:rsidRPr="00D613A6">
        <w:rPr>
          <w:noProof w:val="0"/>
          <w:color w:val="17365D"/>
        </w:rPr>
        <w:t> </w:t>
      </w:r>
      <w:r w:rsidR="007A09E6" w:rsidRPr="00D613A6">
        <w:rPr>
          <w:noProof w:val="0"/>
          <w:color w:val="17365D"/>
        </w:rPr>
        <w:t>milj</w:t>
      </w:r>
      <w:r w:rsidR="00BF5BA5" w:rsidRPr="00D613A6">
        <w:rPr>
          <w:noProof w:val="0"/>
          <w:color w:val="17365D"/>
        </w:rPr>
        <w:t>. </w:t>
      </w:r>
      <w:r w:rsidR="00BF5BA5" w:rsidRPr="00D613A6">
        <w:rPr>
          <w:i/>
          <w:noProof w:val="0"/>
          <w:color w:val="17365D"/>
        </w:rPr>
        <w:t>euro</w:t>
      </w:r>
      <w:r w:rsidR="00BF5BA5" w:rsidRPr="00D613A6">
        <w:rPr>
          <w:noProof w:val="0"/>
          <w:color w:val="17365D"/>
        </w:rPr>
        <w:t xml:space="preserve"> </w:t>
      </w:r>
      <w:r w:rsidR="007A09E6" w:rsidRPr="00D613A6">
        <w:rPr>
          <w:noProof w:val="0"/>
          <w:color w:val="17365D"/>
        </w:rPr>
        <w:t xml:space="preserve">jeb </w:t>
      </w:r>
      <w:r w:rsidR="00A67E1C" w:rsidRPr="00D613A6">
        <w:rPr>
          <w:noProof w:val="0"/>
          <w:color w:val="17365D"/>
        </w:rPr>
        <w:t>5</w:t>
      </w:r>
      <w:r w:rsidR="007A09E6" w:rsidRPr="00D613A6">
        <w:rPr>
          <w:noProof w:val="0"/>
          <w:color w:val="17365D"/>
        </w:rPr>
        <w:t>,</w:t>
      </w:r>
      <w:r w:rsidR="00A67E1C" w:rsidRPr="00D613A6">
        <w:rPr>
          <w:noProof w:val="0"/>
          <w:color w:val="17365D"/>
        </w:rPr>
        <w:t>36</w:t>
      </w:r>
      <w:r w:rsidR="006A7956" w:rsidRPr="00D613A6">
        <w:rPr>
          <w:noProof w:val="0"/>
          <w:color w:val="17365D"/>
        </w:rPr>
        <w:t> %</w:t>
      </w:r>
      <w:r w:rsidR="007A09E6" w:rsidRPr="00D613A6">
        <w:rPr>
          <w:noProof w:val="0"/>
          <w:color w:val="17365D"/>
        </w:rPr>
        <w:t xml:space="preserve"> </w:t>
      </w:r>
      <w:r w:rsidR="007A3D4A" w:rsidRPr="00D613A6">
        <w:rPr>
          <w:noProof w:val="0"/>
          <w:color w:val="17365D"/>
        </w:rPr>
        <w:t>vair</w:t>
      </w:r>
      <w:r w:rsidR="007A09E6" w:rsidRPr="00D613A6">
        <w:rPr>
          <w:noProof w:val="0"/>
          <w:color w:val="17365D"/>
        </w:rPr>
        <w:t xml:space="preserve">āk nekā </w:t>
      </w:r>
      <w:r w:rsidR="008F2503" w:rsidRPr="00D613A6">
        <w:rPr>
          <w:noProof w:val="0"/>
          <w:color w:val="17365D"/>
        </w:rPr>
        <w:t>20</w:t>
      </w:r>
      <w:r w:rsidR="00210DE8" w:rsidRPr="00D613A6">
        <w:rPr>
          <w:noProof w:val="0"/>
          <w:color w:val="17365D"/>
        </w:rPr>
        <w:t>2</w:t>
      </w:r>
      <w:r w:rsidR="00A67E1C" w:rsidRPr="00D613A6">
        <w:rPr>
          <w:noProof w:val="0"/>
          <w:color w:val="17365D"/>
        </w:rPr>
        <w:t>3</w:t>
      </w:r>
      <w:r w:rsidR="008F2503" w:rsidRPr="00D613A6">
        <w:rPr>
          <w:noProof w:val="0"/>
          <w:color w:val="17365D"/>
        </w:rPr>
        <w:t>. gad</w:t>
      </w:r>
      <w:r w:rsidR="007A09E6" w:rsidRPr="00D613A6">
        <w:rPr>
          <w:noProof w:val="0"/>
          <w:color w:val="17365D"/>
        </w:rPr>
        <w:t>ā. Budžeta izpilde pret saimnieciskā gada plānu</w:t>
      </w:r>
      <w:r w:rsidRPr="00D613A6">
        <w:rPr>
          <w:noProof w:val="0"/>
          <w:color w:val="17365D"/>
        </w:rPr>
        <w:t xml:space="preserve"> ar izmaiņām</w:t>
      </w:r>
      <w:r w:rsidR="007A09E6" w:rsidRPr="00D613A6">
        <w:rPr>
          <w:noProof w:val="0"/>
          <w:color w:val="17365D"/>
        </w:rPr>
        <w:t xml:space="preserve"> ir </w:t>
      </w:r>
      <w:r w:rsidR="0005004F" w:rsidRPr="00D613A6">
        <w:rPr>
          <w:noProof w:val="0"/>
          <w:color w:val="17365D"/>
        </w:rPr>
        <w:t>9</w:t>
      </w:r>
      <w:r w:rsidR="00A67E1C" w:rsidRPr="00D613A6">
        <w:rPr>
          <w:noProof w:val="0"/>
          <w:color w:val="17365D"/>
        </w:rPr>
        <w:t>0</w:t>
      </w:r>
      <w:r w:rsidR="007A09E6" w:rsidRPr="00D613A6">
        <w:rPr>
          <w:noProof w:val="0"/>
          <w:color w:val="17365D"/>
        </w:rPr>
        <w:t>,</w:t>
      </w:r>
      <w:r w:rsidR="00A67E1C" w:rsidRPr="00D613A6">
        <w:rPr>
          <w:noProof w:val="0"/>
          <w:color w:val="17365D"/>
        </w:rPr>
        <w:t>55</w:t>
      </w:r>
      <w:r w:rsidR="006A7956" w:rsidRPr="00D613A6">
        <w:rPr>
          <w:noProof w:val="0"/>
          <w:color w:val="17365D"/>
        </w:rPr>
        <w:t> %</w:t>
      </w:r>
      <w:r w:rsidR="007A09E6" w:rsidRPr="00D613A6">
        <w:rPr>
          <w:noProof w:val="0"/>
          <w:color w:val="17365D"/>
        </w:rPr>
        <w:t xml:space="preserve">. Valsts konsolidētā budžeta </w:t>
      </w:r>
      <w:r w:rsidR="006F2E62" w:rsidRPr="00D613A6">
        <w:rPr>
          <w:noProof w:val="0"/>
          <w:color w:val="17365D"/>
        </w:rPr>
        <w:t xml:space="preserve">izdevumu lielāko daļu atbilstoši ekonomiskajām kategorijām (turpmāk – EKK) veido </w:t>
      </w:r>
      <w:r w:rsidR="007A09E6" w:rsidRPr="00D613A6">
        <w:rPr>
          <w:noProof w:val="0"/>
          <w:color w:val="17365D"/>
        </w:rPr>
        <w:t xml:space="preserve">uzturēšanas izdevumi </w:t>
      </w:r>
      <w:r w:rsidR="00210DE8" w:rsidRPr="00D613A6">
        <w:rPr>
          <w:noProof w:val="0"/>
          <w:color w:val="17365D"/>
        </w:rPr>
        <w:t>1</w:t>
      </w:r>
      <w:r w:rsidR="00A67E1C" w:rsidRPr="00D613A6">
        <w:rPr>
          <w:noProof w:val="0"/>
          <w:color w:val="17365D"/>
        </w:rPr>
        <w:t>4</w:t>
      </w:r>
      <w:r w:rsidR="00C90546" w:rsidRPr="00D613A6">
        <w:rPr>
          <w:noProof w:val="0"/>
          <w:color w:val="17365D"/>
        </w:rPr>
        <w:t> </w:t>
      </w:r>
      <w:r w:rsidR="00A67E1C" w:rsidRPr="00D613A6">
        <w:rPr>
          <w:noProof w:val="0"/>
          <w:color w:val="17365D"/>
        </w:rPr>
        <w:t>058</w:t>
      </w:r>
      <w:r w:rsidR="007A09E6" w:rsidRPr="00D613A6">
        <w:rPr>
          <w:noProof w:val="0"/>
          <w:color w:val="17365D"/>
        </w:rPr>
        <w:t>,</w:t>
      </w:r>
      <w:r w:rsidR="00A67E1C" w:rsidRPr="00D613A6">
        <w:rPr>
          <w:noProof w:val="0"/>
          <w:color w:val="17365D"/>
        </w:rPr>
        <w:t>5</w:t>
      </w:r>
      <w:r w:rsidR="0096552B" w:rsidRPr="00D613A6">
        <w:rPr>
          <w:noProof w:val="0"/>
          <w:color w:val="17365D"/>
        </w:rPr>
        <w:t> </w:t>
      </w:r>
      <w:r w:rsidR="007A09E6" w:rsidRPr="00D613A6">
        <w:rPr>
          <w:noProof w:val="0"/>
          <w:color w:val="17365D"/>
        </w:rPr>
        <w:t>milj</w:t>
      </w:r>
      <w:r w:rsidR="00C90546" w:rsidRPr="00D613A6">
        <w:rPr>
          <w:noProof w:val="0"/>
          <w:color w:val="17365D"/>
        </w:rPr>
        <w:t>. </w:t>
      </w:r>
      <w:r w:rsidR="00C90546" w:rsidRPr="00D613A6">
        <w:rPr>
          <w:i/>
          <w:noProof w:val="0"/>
          <w:color w:val="17365D"/>
        </w:rPr>
        <w:t>euro</w:t>
      </w:r>
      <w:r w:rsidR="006F2E62" w:rsidRPr="00D613A6">
        <w:rPr>
          <w:i/>
          <w:noProof w:val="0"/>
          <w:color w:val="17365D"/>
        </w:rPr>
        <w:t xml:space="preserve"> </w:t>
      </w:r>
      <w:r w:rsidR="006F2E62" w:rsidRPr="00D613A6">
        <w:rPr>
          <w:noProof w:val="0"/>
          <w:color w:val="17365D"/>
        </w:rPr>
        <w:t>vērtībā</w:t>
      </w:r>
      <w:r w:rsidR="007A09E6" w:rsidRPr="00D613A6">
        <w:rPr>
          <w:noProof w:val="0"/>
          <w:color w:val="17365D"/>
        </w:rPr>
        <w:t xml:space="preserve">, kas ir par </w:t>
      </w:r>
      <w:r w:rsidR="00A97606" w:rsidRPr="00D613A6">
        <w:rPr>
          <w:noProof w:val="0"/>
          <w:color w:val="17365D"/>
        </w:rPr>
        <w:t>6</w:t>
      </w:r>
      <w:r w:rsidR="00A67E1C" w:rsidRPr="00D613A6">
        <w:rPr>
          <w:noProof w:val="0"/>
          <w:color w:val="17365D"/>
        </w:rPr>
        <w:t>43</w:t>
      </w:r>
      <w:r w:rsidR="001809BF" w:rsidRPr="00D613A6">
        <w:rPr>
          <w:noProof w:val="0"/>
          <w:color w:val="17365D"/>
        </w:rPr>
        <w:t>,</w:t>
      </w:r>
      <w:r w:rsidR="00A67E1C" w:rsidRPr="00D613A6">
        <w:rPr>
          <w:noProof w:val="0"/>
          <w:color w:val="17365D"/>
        </w:rPr>
        <w:t>6</w:t>
      </w:r>
      <w:r w:rsidR="0096552B" w:rsidRPr="00D613A6">
        <w:rPr>
          <w:noProof w:val="0"/>
          <w:color w:val="17365D"/>
        </w:rPr>
        <w:t> </w:t>
      </w:r>
      <w:r w:rsidR="007A09E6" w:rsidRPr="00D613A6">
        <w:rPr>
          <w:noProof w:val="0"/>
          <w:color w:val="17365D"/>
        </w:rPr>
        <w:t>milj</w:t>
      </w:r>
      <w:r w:rsidR="00AA38E7" w:rsidRPr="00D613A6">
        <w:rPr>
          <w:noProof w:val="0"/>
          <w:color w:val="17365D"/>
        </w:rPr>
        <w:t>. </w:t>
      </w:r>
      <w:r w:rsidR="00AA38E7" w:rsidRPr="00D613A6">
        <w:rPr>
          <w:i/>
          <w:noProof w:val="0"/>
          <w:color w:val="17365D"/>
        </w:rPr>
        <w:t>euro</w:t>
      </w:r>
      <w:r w:rsidR="00AA38E7" w:rsidRPr="00D613A6">
        <w:rPr>
          <w:noProof w:val="0"/>
          <w:color w:val="17365D"/>
        </w:rPr>
        <w:t xml:space="preserve"> </w:t>
      </w:r>
      <w:r w:rsidR="007A09E6" w:rsidRPr="00D613A6">
        <w:rPr>
          <w:noProof w:val="0"/>
          <w:color w:val="17365D"/>
        </w:rPr>
        <w:t xml:space="preserve">jeb </w:t>
      </w:r>
      <w:r w:rsidR="00A67E1C" w:rsidRPr="00D613A6">
        <w:rPr>
          <w:noProof w:val="0"/>
          <w:color w:val="17365D"/>
        </w:rPr>
        <w:t>4</w:t>
      </w:r>
      <w:r w:rsidR="007A09E6" w:rsidRPr="00D613A6">
        <w:rPr>
          <w:noProof w:val="0"/>
          <w:color w:val="17365D"/>
        </w:rPr>
        <w:t>,</w:t>
      </w:r>
      <w:r w:rsidR="00A67E1C" w:rsidRPr="00D613A6">
        <w:rPr>
          <w:noProof w:val="0"/>
          <w:color w:val="17365D"/>
        </w:rPr>
        <w:t>8</w:t>
      </w:r>
      <w:r w:rsidR="00EF1240" w:rsidRPr="00D613A6">
        <w:rPr>
          <w:noProof w:val="0"/>
          <w:color w:val="17365D"/>
        </w:rPr>
        <w:t>0</w:t>
      </w:r>
      <w:r w:rsidR="006A7956" w:rsidRPr="00D613A6">
        <w:rPr>
          <w:noProof w:val="0"/>
          <w:color w:val="17365D"/>
        </w:rPr>
        <w:t> %</w:t>
      </w:r>
      <w:r w:rsidR="007A09E6" w:rsidRPr="00D613A6">
        <w:rPr>
          <w:noProof w:val="0"/>
          <w:color w:val="17365D"/>
        </w:rPr>
        <w:t xml:space="preserve"> vairāk nekā </w:t>
      </w:r>
      <w:r w:rsidR="008F2503" w:rsidRPr="00D613A6">
        <w:rPr>
          <w:noProof w:val="0"/>
          <w:color w:val="17365D"/>
        </w:rPr>
        <w:t>20</w:t>
      </w:r>
      <w:r w:rsidR="006517DF" w:rsidRPr="00D613A6">
        <w:rPr>
          <w:noProof w:val="0"/>
          <w:color w:val="17365D"/>
        </w:rPr>
        <w:t>2</w:t>
      </w:r>
      <w:r w:rsidR="00A67E1C" w:rsidRPr="00D613A6">
        <w:rPr>
          <w:noProof w:val="0"/>
          <w:color w:val="17365D"/>
        </w:rPr>
        <w:t>3</w:t>
      </w:r>
      <w:r w:rsidR="008F2503" w:rsidRPr="00D613A6">
        <w:rPr>
          <w:noProof w:val="0"/>
          <w:color w:val="17365D"/>
        </w:rPr>
        <w:t>. gad</w:t>
      </w:r>
      <w:r w:rsidR="007A09E6" w:rsidRPr="00D613A6">
        <w:rPr>
          <w:noProof w:val="0"/>
          <w:color w:val="17365D"/>
        </w:rPr>
        <w:t>ā</w:t>
      </w:r>
      <w:r w:rsidR="006F2E62" w:rsidRPr="00D613A6">
        <w:rPr>
          <w:noProof w:val="0"/>
          <w:color w:val="17365D"/>
        </w:rPr>
        <w:t>.</w:t>
      </w:r>
      <w:r w:rsidR="007A09E6" w:rsidRPr="00D613A6">
        <w:rPr>
          <w:noProof w:val="0"/>
          <w:color w:val="17365D"/>
        </w:rPr>
        <w:t xml:space="preserve"> </w:t>
      </w:r>
      <w:r w:rsidR="006F2E62" w:rsidRPr="00D613A6">
        <w:rPr>
          <w:noProof w:val="0"/>
          <w:color w:val="17365D"/>
        </w:rPr>
        <w:t>K</w:t>
      </w:r>
      <w:r w:rsidR="007A09E6" w:rsidRPr="00D613A6">
        <w:rPr>
          <w:noProof w:val="0"/>
          <w:color w:val="17365D"/>
        </w:rPr>
        <w:t xml:space="preserve">apitālie izdevumi ir </w:t>
      </w:r>
      <w:r w:rsidR="00F92DCD" w:rsidRPr="00D613A6">
        <w:rPr>
          <w:noProof w:val="0"/>
          <w:color w:val="17365D"/>
        </w:rPr>
        <w:t>1 </w:t>
      </w:r>
      <w:r w:rsidR="00A67E1C" w:rsidRPr="00D613A6">
        <w:rPr>
          <w:noProof w:val="0"/>
          <w:color w:val="17365D"/>
        </w:rPr>
        <w:t>199</w:t>
      </w:r>
      <w:r w:rsidR="007A09E6" w:rsidRPr="00D613A6">
        <w:rPr>
          <w:noProof w:val="0"/>
          <w:color w:val="17365D"/>
        </w:rPr>
        <w:t>,</w:t>
      </w:r>
      <w:r w:rsidR="00A67E1C" w:rsidRPr="00D613A6">
        <w:rPr>
          <w:noProof w:val="0"/>
          <w:color w:val="17365D"/>
        </w:rPr>
        <w:t>0</w:t>
      </w:r>
      <w:r w:rsidR="00536DFF" w:rsidRPr="00D613A6">
        <w:rPr>
          <w:noProof w:val="0"/>
          <w:color w:val="17365D"/>
        </w:rPr>
        <w:t> </w:t>
      </w:r>
      <w:r w:rsidR="007A09E6" w:rsidRPr="00D613A6">
        <w:rPr>
          <w:noProof w:val="0"/>
          <w:color w:val="17365D"/>
        </w:rPr>
        <w:t>milj</w:t>
      </w:r>
      <w:r w:rsidR="00C90546" w:rsidRPr="00D613A6">
        <w:rPr>
          <w:noProof w:val="0"/>
          <w:color w:val="17365D"/>
        </w:rPr>
        <w:t>. </w:t>
      </w:r>
      <w:r w:rsidR="00C90546" w:rsidRPr="00D613A6">
        <w:rPr>
          <w:i/>
          <w:noProof w:val="0"/>
          <w:color w:val="17365D"/>
        </w:rPr>
        <w:t>euro</w:t>
      </w:r>
      <w:r w:rsidR="009E35F2" w:rsidRPr="00D613A6">
        <w:rPr>
          <w:i/>
          <w:noProof w:val="0"/>
          <w:color w:val="17365D"/>
        </w:rPr>
        <w:t xml:space="preserve"> </w:t>
      </w:r>
      <w:r w:rsidR="009E35F2" w:rsidRPr="00D613A6">
        <w:rPr>
          <w:noProof w:val="0"/>
          <w:color w:val="17365D"/>
        </w:rPr>
        <w:t>vērtībā</w:t>
      </w:r>
      <w:r w:rsidR="007A09E6" w:rsidRPr="00D613A6">
        <w:rPr>
          <w:noProof w:val="0"/>
          <w:color w:val="17365D"/>
        </w:rPr>
        <w:t xml:space="preserve">, kas ir par </w:t>
      </w:r>
      <w:r w:rsidR="00A97606" w:rsidRPr="00D613A6">
        <w:rPr>
          <w:noProof w:val="0"/>
          <w:color w:val="17365D"/>
        </w:rPr>
        <w:t>1</w:t>
      </w:r>
      <w:r w:rsidR="00A67E1C" w:rsidRPr="00D613A6">
        <w:rPr>
          <w:noProof w:val="0"/>
          <w:color w:val="17365D"/>
        </w:rPr>
        <w:t>33</w:t>
      </w:r>
      <w:r w:rsidR="007A09E6" w:rsidRPr="00D613A6">
        <w:rPr>
          <w:noProof w:val="0"/>
          <w:color w:val="17365D"/>
        </w:rPr>
        <w:t>,</w:t>
      </w:r>
      <w:r w:rsidR="00A67E1C" w:rsidRPr="00D613A6">
        <w:rPr>
          <w:noProof w:val="0"/>
          <w:color w:val="17365D"/>
        </w:rPr>
        <w:t>1</w:t>
      </w:r>
      <w:r w:rsidR="00536DFF" w:rsidRPr="00D613A6">
        <w:rPr>
          <w:noProof w:val="0"/>
          <w:color w:val="17365D"/>
        </w:rPr>
        <w:t> </w:t>
      </w:r>
      <w:r w:rsidR="00AA38E7" w:rsidRPr="00D613A6">
        <w:rPr>
          <w:noProof w:val="0"/>
          <w:color w:val="17365D"/>
        </w:rPr>
        <w:t>milj. </w:t>
      </w:r>
      <w:r w:rsidR="00AA38E7" w:rsidRPr="00D613A6">
        <w:rPr>
          <w:i/>
          <w:noProof w:val="0"/>
          <w:color w:val="17365D"/>
        </w:rPr>
        <w:t>euro</w:t>
      </w:r>
      <w:r w:rsidR="007A09E6" w:rsidRPr="00D613A6">
        <w:rPr>
          <w:noProof w:val="0"/>
          <w:color w:val="17365D"/>
        </w:rPr>
        <w:t xml:space="preserve"> jeb </w:t>
      </w:r>
      <w:r w:rsidR="00A67E1C" w:rsidRPr="00D613A6">
        <w:rPr>
          <w:noProof w:val="0"/>
          <w:color w:val="17365D"/>
        </w:rPr>
        <w:t>12</w:t>
      </w:r>
      <w:r w:rsidR="007A09E6" w:rsidRPr="00D613A6">
        <w:rPr>
          <w:noProof w:val="0"/>
          <w:color w:val="17365D"/>
        </w:rPr>
        <w:t>,</w:t>
      </w:r>
      <w:r w:rsidR="00A67E1C" w:rsidRPr="00D613A6">
        <w:rPr>
          <w:noProof w:val="0"/>
          <w:color w:val="17365D"/>
        </w:rPr>
        <w:t>49</w:t>
      </w:r>
      <w:r w:rsidR="006A7956" w:rsidRPr="00D613A6">
        <w:rPr>
          <w:noProof w:val="0"/>
          <w:color w:val="17365D"/>
        </w:rPr>
        <w:t> %</w:t>
      </w:r>
      <w:r w:rsidR="007A09E6" w:rsidRPr="00D613A6">
        <w:rPr>
          <w:noProof w:val="0"/>
          <w:color w:val="17365D"/>
        </w:rPr>
        <w:t xml:space="preserve"> </w:t>
      </w:r>
      <w:r w:rsidR="00F457E3" w:rsidRPr="00D613A6">
        <w:rPr>
          <w:noProof w:val="0"/>
          <w:color w:val="17365D"/>
        </w:rPr>
        <w:t>vair</w:t>
      </w:r>
      <w:r w:rsidR="007A09E6" w:rsidRPr="00D613A6">
        <w:rPr>
          <w:noProof w:val="0"/>
          <w:color w:val="17365D"/>
        </w:rPr>
        <w:t xml:space="preserve">āk nekā </w:t>
      </w:r>
      <w:r w:rsidR="008F2503" w:rsidRPr="00D613A6">
        <w:rPr>
          <w:noProof w:val="0"/>
          <w:color w:val="17365D"/>
        </w:rPr>
        <w:t>20</w:t>
      </w:r>
      <w:r w:rsidR="006517DF" w:rsidRPr="00D613A6">
        <w:rPr>
          <w:noProof w:val="0"/>
          <w:color w:val="17365D"/>
        </w:rPr>
        <w:t>2</w:t>
      </w:r>
      <w:r w:rsidR="00A67E1C" w:rsidRPr="00D613A6">
        <w:rPr>
          <w:noProof w:val="0"/>
          <w:color w:val="17365D"/>
        </w:rPr>
        <w:t>3</w:t>
      </w:r>
      <w:r w:rsidR="008F2503" w:rsidRPr="00D613A6">
        <w:rPr>
          <w:noProof w:val="0"/>
          <w:color w:val="17365D"/>
        </w:rPr>
        <w:t>. gad</w:t>
      </w:r>
      <w:r w:rsidR="00842EA0" w:rsidRPr="00D613A6">
        <w:rPr>
          <w:noProof w:val="0"/>
          <w:color w:val="17365D"/>
        </w:rPr>
        <w:t xml:space="preserve">ā </w:t>
      </w:r>
      <w:r w:rsidR="00842EA0" w:rsidRPr="00D613A6">
        <w:rPr>
          <w:bCs/>
          <w:noProof w:val="0"/>
          <w:color w:val="17365D"/>
        </w:rPr>
        <w:t>(skatīt 6.2. attēlu).</w:t>
      </w:r>
    </w:p>
    <w:p w14:paraId="7AF1FC0B" w14:textId="7E9146CE" w:rsidR="005A03C8" w:rsidRPr="00D613A6" w:rsidRDefault="00D33F96" w:rsidP="00D33F96">
      <w:pPr>
        <w:pStyle w:val="Pamatteksts1"/>
        <w:ind w:firstLine="0"/>
        <w:rPr>
          <w:noProof w:val="0"/>
          <w:color w:val="17365D"/>
        </w:rPr>
      </w:pPr>
      <w:r w:rsidRPr="00D613A6">
        <w:rPr>
          <w:color w:val="17365D"/>
        </w:rPr>
        <w:drawing>
          <wp:inline distT="0" distB="0" distL="0" distR="0" wp14:anchorId="2656361D" wp14:editId="6C149B36">
            <wp:extent cx="5941060" cy="3030855"/>
            <wp:effectExtent l="0" t="0" r="254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8D3E79" w14:textId="4D0E9FCF" w:rsidR="005A03C8" w:rsidRPr="00D613A6" w:rsidRDefault="005A03C8" w:rsidP="005A03C8">
      <w:pPr>
        <w:pStyle w:val="Attlanosaukums"/>
        <w:spacing w:before="240"/>
        <w:ind w:firstLine="0"/>
        <w:rPr>
          <w:noProof w:val="0"/>
          <w:color w:val="17365D"/>
        </w:rPr>
      </w:pPr>
      <w:r w:rsidRPr="00D613A6">
        <w:rPr>
          <w:noProof w:val="0"/>
          <w:color w:val="17365D"/>
        </w:rPr>
        <w:t>6.2. attēls. Konsolidētie valsts budžeta izdevumi 2015.</w:t>
      </w:r>
      <w:r w:rsidR="005974A9" w:rsidRPr="00D613A6">
        <w:rPr>
          <w:noProof w:val="0"/>
          <w:color w:val="17365D"/>
        </w:rPr>
        <w:t xml:space="preserve"> –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4E7E429B" w14:textId="77777777" w:rsidR="00DC3A74" w:rsidRPr="00D613A6" w:rsidRDefault="00DC3A74" w:rsidP="00DC3A74">
      <w:pPr>
        <w:spacing w:after="0"/>
        <w:ind w:firstLine="0"/>
        <w:jc w:val="right"/>
        <w:rPr>
          <w:rFonts w:eastAsia="Arial Unicode MS"/>
          <w:i/>
          <w:color w:val="17365D"/>
          <w:sz w:val="20"/>
        </w:rPr>
      </w:pPr>
      <w:r w:rsidRPr="00D613A6">
        <w:rPr>
          <w:rFonts w:eastAsia="Arial Unicode MS"/>
          <w:i/>
          <w:color w:val="17365D"/>
          <w:sz w:val="20"/>
        </w:rPr>
        <w:lastRenderedPageBreak/>
        <w:t xml:space="preserve">6.2. tabula. Konsolidētā valsts budžeta </w:t>
      </w:r>
      <w:r w:rsidRPr="00D613A6">
        <w:rPr>
          <w:bCs/>
          <w:i/>
          <w:color w:val="17365D"/>
          <w:sz w:val="20"/>
          <w:szCs w:val="20"/>
        </w:rPr>
        <w:t>izdevumu izmaiņas (</w:t>
      </w:r>
      <w:r w:rsidRPr="00D613A6">
        <w:rPr>
          <w:i/>
          <w:color w:val="17365D"/>
          <w:sz w:val="20"/>
        </w:rPr>
        <w:t>euro)</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D613A6" w:rsidRPr="00D613A6" w14:paraId="788F1929" w14:textId="77777777" w:rsidTr="009507AF">
        <w:trPr>
          <w:trHeight w:val="285"/>
          <w:tblHeader/>
        </w:trPr>
        <w:tc>
          <w:tcPr>
            <w:tcW w:w="896" w:type="dxa"/>
            <w:vMerge w:val="restart"/>
            <w:tcBorders>
              <w:top w:val="nil"/>
              <w:bottom w:val="single" w:sz="4" w:space="0" w:color="17365D"/>
            </w:tcBorders>
            <w:shd w:val="clear" w:color="auto" w:fill="B9CDE5"/>
            <w:vAlign w:val="center"/>
          </w:tcPr>
          <w:p w14:paraId="5CCE22C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6B182CEA"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97FEEF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5BFE569C"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474D8E5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(1.– 2.)</w:t>
            </w:r>
          </w:p>
        </w:tc>
        <w:tc>
          <w:tcPr>
            <w:tcW w:w="1328" w:type="dxa"/>
            <w:vMerge w:val="restart"/>
            <w:tcBorders>
              <w:top w:val="nil"/>
              <w:bottom w:val="single" w:sz="4" w:space="0" w:color="17365D"/>
            </w:tcBorders>
            <w:shd w:val="clear" w:color="auto" w:fill="B9CDE5"/>
            <w:vAlign w:val="center"/>
          </w:tcPr>
          <w:p w14:paraId="055985A2"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Procentuālās izmaiņas</w:t>
            </w:r>
          </w:p>
          <w:p w14:paraId="566840E9"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(3./2. x 100)</w:t>
            </w:r>
          </w:p>
        </w:tc>
      </w:tr>
      <w:tr w:rsidR="00D613A6" w:rsidRPr="00D613A6" w14:paraId="66072E0E" w14:textId="77777777" w:rsidTr="009507AF">
        <w:trPr>
          <w:trHeight w:val="709"/>
          <w:tblHeader/>
        </w:trPr>
        <w:tc>
          <w:tcPr>
            <w:tcW w:w="896" w:type="dxa"/>
            <w:vMerge/>
            <w:tcBorders>
              <w:top w:val="single" w:sz="4" w:space="0" w:color="17365D"/>
              <w:bottom w:val="nil"/>
            </w:tcBorders>
            <w:shd w:val="clear" w:color="auto" w:fill="auto"/>
            <w:vAlign w:val="center"/>
          </w:tcPr>
          <w:p w14:paraId="24C53707" w14:textId="77777777" w:rsidR="00DC3A74" w:rsidRPr="00D613A6" w:rsidRDefault="00DC3A74" w:rsidP="009507AF">
            <w:pPr>
              <w:pStyle w:val="Pamatteksts1"/>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CDCC835" w14:textId="77777777" w:rsidR="00DC3A74" w:rsidRPr="00D613A6" w:rsidRDefault="00DC3A74" w:rsidP="009507AF">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7CF969B9" w14:textId="77777777" w:rsidR="00DC3A74" w:rsidRPr="00D613A6" w:rsidRDefault="00DC3A74" w:rsidP="009507AF">
            <w:pPr>
              <w:spacing w:after="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0759E18F" w14:textId="77777777" w:rsidR="00DC3A74" w:rsidRPr="00D613A6" w:rsidRDefault="00DC3A74" w:rsidP="009507AF">
            <w:pPr>
              <w:spacing w:after="0"/>
              <w:ind w:firstLine="0"/>
              <w:jc w:val="center"/>
              <w:rPr>
                <w:b/>
                <w:noProof/>
                <w:color w:val="17365D"/>
                <w:sz w:val="20"/>
                <w:szCs w:val="20"/>
              </w:rPr>
            </w:pPr>
            <w:r w:rsidRPr="00D613A6">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E2EEE76" w14:textId="77777777" w:rsidR="00DC3A74" w:rsidRPr="00D613A6" w:rsidRDefault="00DC3A74" w:rsidP="009507AF">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097EF199" w14:textId="77777777" w:rsidR="00DC3A74" w:rsidRPr="00D613A6" w:rsidRDefault="00DC3A74" w:rsidP="009507AF">
            <w:pPr>
              <w:spacing w:after="0"/>
              <w:ind w:firstLine="0"/>
              <w:jc w:val="center"/>
              <w:rPr>
                <w:color w:val="17365D"/>
                <w:sz w:val="20"/>
                <w:szCs w:val="20"/>
              </w:rPr>
            </w:pPr>
          </w:p>
        </w:tc>
      </w:tr>
      <w:tr w:rsidR="00D613A6" w:rsidRPr="00D613A6" w14:paraId="5E3DA123" w14:textId="77777777" w:rsidTr="009507AF">
        <w:trPr>
          <w:trHeight w:val="285"/>
          <w:tblHeader/>
        </w:trPr>
        <w:tc>
          <w:tcPr>
            <w:tcW w:w="896" w:type="dxa"/>
            <w:tcBorders>
              <w:top w:val="nil"/>
              <w:bottom w:val="single" w:sz="4" w:space="0" w:color="17365D"/>
            </w:tcBorders>
            <w:shd w:val="clear" w:color="auto" w:fill="auto"/>
            <w:vAlign w:val="center"/>
          </w:tcPr>
          <w:p w14:paraId="3C7EC71F"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A</w:t>
            </w:r>
          </w:p>
        </w:tc>
        <w:tc>
          <w:tcPr>
            <w:tcW w:w="2565" w:type="dxa"/>
            <w:tcBorders>
              <w:top w:val="nil"/>
              <w:bottom w:val="single" w:sz="4" w:space="0" w:color="17365D"/>
            </w:tcBorders>
            <w:shd w:val="clear" w:color="auto" w:fill="auto"/>
            <w:vAlign w:val="center"/>
          </w:tcPr>
          <w:p w14:paraId="66A9C9A6"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shd w:val="clear" w:color="auto" w:fill="auto"/>
            <w:vAlign w:val="center"/>
          </w:tcPr>
          <w:p w14:paraId="1AA9D9E5"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shd w:val="clear" w:color="auto" w:fill="auto"/>
            <w:vAlign w:val="center"/>
          </w:tcPr>
          <w:p w14:paraId="0118F1F3"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2</w:t>
            </w:r>
          </w:p>
        </w:tc>
        <w:tc>
          <w:tcPr>
            <w:tcW w:w="1632" w:type="dxa"/>
            <w:tcBorders>
              <w:top w:val="nil"/>
              <w:bottom w:val="single" w:sz="4" w:space="0" w:color="17365D"/>
            </w:tcBorders>
            <w:shd w:val="clear" w:color="auto" w:fill="auto"/>
            <w:vAlign w:val="center"/>
          </w:tcPr>
          <w:p w14:paraId="35069CE4"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shd w:val="clear" w:color="auto" w:fill="auto"/>
            <w:vAlign w:val="center"/>
          </w:tcPr>
          <w:p w14:paraId="59BDB7B6"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8F32FF4" w14:textId="77777777" w:rsidTr="009507AF">
        <w:trPr>
          <w:trHeight w:val="285"/>
        </w:trPr>
        <w:tc>
          <w:tcPr>
            <w:tcW w:w="896" w:type="dxa"/>
            <w:tcBorders>
              <w:top w:val="single" w:sz="4" w:space="0" w:color="17365D"/>
              <w:bottom w:val="single" w:sz="4" w:space="0" w:color="17365D"/>
            </w:tcBorders>
            <w:shd w:val="clear" w:color="auto" w:fill="auto"/>
            <w:vAlign w:val="center"/>
          </w:tcPr>
          <w:p w14:paraId="7D5B9FF7" w14:textId="77777777" w:rsidR="00DC3A74" w:rsidRPr="00D613A6" w:rsidRDefault="00DC3A74" w:rsidP="009507AF">
            <w:pPr>
              <w:pStyle w:val="Pamatteksts1"/>
              <w:spacing w:before="40" w:after="40"/>
              <w:ind w:firstLine="0"/>
              <w:jc w:val="left"/>
              <w:rPr>
                <w:color w:val="17365D"/>
                <w:sz w:val="20"/>
                <w:szCs w:val="20"/>
              </w:rPr>
            </w:pPr>
            <w:r w:rsidRPr="00D613A6">
              <w:rPr>
                <w:b/>
                <w:color w:val="17365D"/>
                <w:sz w:val="20"/>
                <w:szCs w:val="20"/>
              </w:rPr>
              <w:t>II</w:t>
            </w:r>
            <w:r w:rsidRPr="00D613A6">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3F14C848" w14:textId="77777777" w:rsidR="00DC3A74" w:rsidRPr="00D613A6" w:rsidRDefault="00DC3A74" w:rsidP="009507AF">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B544E3F"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15 257 522 638</w:t>
            </w:r>
          </w:p>
        </w:tc>
        <w:tc>
          <w:tcPr>
            <w:tcW w:w="1482" w:type="dxa"/>
            <w:tcBorders>
              <w:top w:val="single" w:sz="4" w:space="0" w:color="17365D"/>
              <w:left w:val="nil"/>
              <w:bottom w:val="single" w:sz="4" w:space="0" w:color="17365D"/>
              <w:right w:val="nil"/>
            </w:tcBorders>
            <w:shd w:val="clear" w:color="000000" w:fill="FFFFFF"/>
            <w:vAlign w:val="center"/>
          </w:tcPr>
          <w:p w14:paraId="0C4A836F"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14 480 806 468</w:t>
            </w:r>
          </w:p>
        </w:tc>
        <w:tc>
          <w:tcPr>
            <w:tcW w:w="1632" w:type="dxa"/>
            <w:tcBorders>
              <w:top w:val="single" w:sz="4" w:space="0" w:color="17365D"/>
              <w:left w:val="nil"/>
              <w:bottom w:val="single" w:sz="4" w:space="0" w:color="17365D"/>
              <w:right w:val="nil"/>
            </w:tcBorders>
            <w:shd w:val="clear" w:color="auto" w:fill="auto"/>
            <w:vAlign w:val="bottom"/>
          </w:tcPr>
          <w:p w14:paraId="21A0E3D0"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776 716 170</w:t>
            </w:r>
          </w:p>
        </w:tc>
        <w:tc>
          <w:tcPr>
            <w:tcW w:w="1328" w:type="dxa"/>
            <w:tcBorders>
              <w:top w:val="single" w:sz="4" w:space="0" w:color="17365D"/>
              <w:left w:val="nil"/>
              <w:bottom w:val="single" w:sz="4" w:space="0" w:color="17365D"/>
              <w:right w:val="nil"/>
            </w:tcBorders>
            <w:shd w:val="clear" w:color="auto" w:fill="auto"/>
            <w:vAlign w:val="bottom"/>
          </w:tcPr>
          <w:p w14:paraId="345055AA"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5.36</w:t>
            </w:r>
          </w:p>
        </w:tc>
      </w:tr>
      <w:tr w:rsidR="00D613A6" w:rsidRPr="00D613A6" w14:paraId="4CBFFB4C" w14:textId="77777777" w:rsidTr="00D613A6">
        <w:trPr>
          <w:trHeight w:val="285"/>
        </w:trPr>
        <w:tc>
          <w:tcPr>
            <w:tcW w:w="896" w:type="dxa"/>
            <w:tcBorders>
              <w:top w:val="single" w:sz="4" w:space="0" w:color="17365D"/>
              <w:bottom w:val="single" w:sz="4" w:space="0" w:color="17365D"/>
            </w:tcBorders>
            <w:shd w:val="clear" w:color="auto" w:fill="auto"/>
            <w:vAlign w:val="center"/>
          </w:tcPr>
          <w:p w14:paraId="74836B45"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1.0.</w:t>
            </w:r>
          </w:p>
        </w:tc>
        <w:tc>
          <w:tcPr>
            <w:tcW w:w="2565" w:type="dxa"/>
            <w:tcBorders>
              <w:top w:val="single" w:sz="4" w:space="0" w:color="17365D"/>
              <w:bottom w:val="single" w:sz="4" w:space="0" w:color="17365D"/>
            </w:tcBorders>
            <w:shd w:val="clear" w:color="auto" w:fill="auto"/>
            <w:vAlign w:val="center"/>
          </w:tcPr>
          <w:p w14:paraId="70B728C7" w14:textId="77777777" w:rsidR="00DC3A74" w:rsidRPr="00D613A6" w:rsidRDefault="00DC3A74" w:rsidP="009507AF">
            <w:pPr>
              <w:pStyle w:val="Pamatteksts1"/>
              <w:spacing w:before="40" w:after="40"/>
              <w:ind w:firstLine="0"/>
              <w:jc w:val="left"/>
              <w:rPr>
                <w:bCs/>
                <w:noProof w:val="0"/>
                <w:color w:val="17365D"/>
                <w:sz w:val="20"/>
                <w:szCs w:val="20"/>
              </w:rPr>
            </w:pPr>
            <w:r w:rsidRPr="00D613A6">
              <w:rPr>
                <w:bCs/>
                <w:noProof w:val="0"/>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3DA45E18"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14 058 526 901</w:t>
            </w:r>
          </w:p>
        </w:tc>
        <w:tc>
          <w:tcPr>
            <w:tcW w:w="1482" w:type="dxa"/>
            <w:tcBorders>
              <w:top w:val="single" w:sz="4" w:space="0" w:color="17365D"/>
              <w:left w:val="nil"/>
              <w:bottom w:val="single" w:sz="4" w:space="0" w:color="17365D"/>
              <w:right w:val="nil"/>
            </w:tcBorders>
            <w:shd w:val="clear" w:color="auto" w:fill="auto"/>
            <w:vAlign w:val="center"/>
          </w:tcPr>
          <w:p w14:paraId="65BA85AD"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13 414 934 426</w:t>
            </w:r>
          </w:p>
        </w:tc>
        <w:tc>
          <w:tcPr>
            <w:tcW w:w="1632" w:type="dxa"/>
            <w:tcBorders>
              <w:top w:val="single" w:sz="4" w:space="0" w:color="17365D"/>
              <w:left w:val="nil"/>
              <w:bottom w:val="single" w:sz="4" w:space="0" w:color="17365D"/>
              <w:right w:val="nil"/>
            </w:tcBorders>
            <w:shd w:val="clear" w:color="auto" w:fill="auto"/>
            <w:vAlign w:val="bottom"/>
          </w:tcPr>
          <w:p w14:paraId="3FA71836"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643 592 475</w:t>
            </w:r>
          </w:p>
        </w:tc>
        <w:tc>
          <w:tcPr>
            <w:tcW w:w="1328" w:type="dxa"/>
            <w:tcBorders>
              <w:top w:val="single" w:sz="4" w:space="0" w:color="17365D"/>
              <w:left w:val="nil"/>
              <w:bottom w:val="single" w:sz="4" w:space="0" w:color="17365D"/>
              <w:right w:val="nil"/>
            </w:tcBorders>
            <w:shd w:val="clear" w:color="auto" w:fill="auto"/>
            <w:vAlign w:val="bottom"/>
          </w:tcPr>
          <w:p w14:paraId="0858ABB5"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4.80</w:t>
            </w:r>
          </w:p>
        </w:tc>
      </w:tr>
      <w:tr w:rsidR="00D613A6" w:rsidRPr="00D613A6" w14:paraId="7999ABAD" w14:textId="77777777" w:rsidTr="00D613A6">
        <w:trPr>
          <w:trHeight w:val="285"/>
        </w:trPr>
        <w:tc>
          <w:tcPr>
            <w:tcW w:w="896" w:type="dxa"/>
            <w:tcBorders>
              <w:top w:val="single" w:sz="4" w:space="0" w:color="17365D"/>
              <w:bottom w:val="nil"/>
            </w:tcBorders>
            <w:shd w:val="clear" w:color="auto" w:fill="auto"/>
            <w:vAlign w:val="center"/>
          </w:tcPr>
          <w:p w14:paraId="7C186374"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2.0.</w:t>
            </w:r>
          </w:p>
        </w:tc>
        <w:tc>
          <w:tcPr>
            <w:tcW w:w="2565" w:type="dxa"/>
            <w:tcBorders>
              <w:top w:val="single" w:sz="4" w:space="0" w:color="17365D"/>
              <w:bottom w:val="nil"/>
            </w:tcBorders>
            <w:shd w:val="clear" w:color="auto" w:fill="auto"/>
            <w:vAlign w:val="center"/>
          </w:tcPr>
          <w:p w14:paraId="4EAC58F8"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Kapitālie izdevumi</w:t>
            </w:r>
          </w:p>
        </w:tc>
        <w:tc>
          <w:tcPr>
            <w:tcW w:w="1482" w:type="dxa"/>
            <w:tcBorders>
              <w:top w:val="single" w:sz="4" w:space="0" w:color="17365D"/>
              <w:left w:val="nil"/>
              <w:bottom w:val="nil"/>
              <w:right w:val="nil"/>
            </w:tcBorders>
            <w:shd w:val="clear" w:color="auto" w:fill="auto"/>
            <w:vAlign w:val="center"/>
          </w:tcPr>
          <w:p w14:paraId="44DDF770"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1 198 995 670</w:t>
            </w:r>
          </w:p>
        </w:tc>
        <w:tc>
          <w:tcPr>
            <w:tcW w:w="1482" w:type="dxa"/>
            <w:tcBorders>
              <w:top w:val="single" w:sz="4" w:space="0" w:color="17365D"/>
              <w:left w:val="nil"/>
              <w:bottom w:val="nil"/>
              <w:right w:val="nil"/>
            </w:tcBorders>
            <w:shd w:val="clear" w:color="auto" w:fill="auto"/>
            <w:vAlign w:val="center"/>
          </w:tcPr>
          <w:p w14:paraId="126A5942" w14:textId="77777777" w:rsidR="00DC3A74" w:rsidRPr="00D613A6" w:rsidRDefault="00DC3A74" w:rsidP="009507AF">
            <w:pPr>
              <w:spacing w:before="40" w:after="40"/>
              <w:ind w:firstLine="0"/>
              <w:jc w:val="right"/>
              <w:rPr>
                <w:bCs/>
                <w:color w:val="17365D"/>
                <w:sz w:val="20"/>
                <w:szCs w:val="20"/>
              </w:rPr>
            </w:pPr>
            <w:r w:rsidRPr="00D613A6">
              <w:rPr>
                <w:bCs/>
                <w:color w:val="17365D"/>
                <w:sz w:val="20"/>
                <w:szCs w:val="20"/>
              </w:rPr>
              <w:t>1 065 872 042</w:t>
            </w:r>
          </w:p>
        </w:tc>
        <w:tc>
          <w:tcPr>
            <w:tcW w:w="1632" w:type="dxa"/>
            <w:tcBorders>
              <w:top w:val="single" w:sz="4" w:space="0" w:color="17365D"/>
              <w:left w:val="nil"/>
              <w:bottom w:val="nil"/>
              <w:right w:val="nil"/>
            </w:tcBorders>
            <w:shd w:val="clear" w:color="auto" w:fill="auto"/>
            <w:vAlign w:val="bottom"/>
          </w:tcPr>
          <w:p w14:paraId="14EEFD17"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133 123 628</w:t>
            </w:r>
          </w:p>
        </w:tc>
        <w:tc>
          <w:tcPr>
            <w:tcW w:w="1328" w:type="dxa"/>
            <w:tcBorders>
              <w:top w:val="single" w:sz="4" w:space="0" w:color="17365D"/>
              <w:left w:val="nil"/>
              <w:bottom w:val="nil"/>
              <w:right w:val="nil"/>
            </w:tcBorders>
            <w:shd w:val="clear" w:color="auto" w:fill="auto"/>
            <w:vAlign w:val="bottom"/>
          </w:tcPr>
          <w:p w14:paraId="2F70131A"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12.49</w:t>
            </w:r>
          </w:p>
        </w:tc>
      </w:tr>
      <w:tr w:rsidR="00D613A6" w:rsidRPr="00D613A6" w14:paraId="409080AC" w14:textId="77777777" w:rsidTr="00D613A6">
        <w:trPr>
          <w:trHeight w:val="285"/>
        </w:trPr>
        <w:tc>
          <w:tcPr>
            <w:tcW w:w="896" w:type="dxa"/>
            <w:tcBorders>
              <w:top w:val="nil"/>
              <w:bottom w:val="nil"/>
            </w:tcBorders>
            <w:shd w:val="clear" w:color="auto" w:fill="B9CDE5"/>
            <w:vAlign w:val="center"/>
          </w:tcPr>
          <w:p w14:paraId="175C06E2" w14:textId="77777777" w:rsidR="00DC3A74" w:rsidRPr="00D613A6" w:rsidRDefault="00DC3A74" w:rsidP="009507AF">
            <w:pPr>
              <w:pStyle w:val="Pamatteksts1"/>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4080C978" w14:textId="77777777" w:rsidR="00DC3A74" w:rsidRPr="00D613A6" w:rsidRDefault="00DC3A74" w:rsidP="009507AF">
            <w:pPr>
              <w:pStyle w:val="Pamatteksts1"/>
              <w:spacing w:before="40" w:after="40"/>
              <w:ind w:firstLine="0"/>
              <w:jc w:val="left"/>
              <w:rPr>
                <w:bCs/>
                <w:color w:val="17365D"/>
                <w:sz w:val="20"/>
                <w:szCs w:val="20"/>
              </w:rPr>
            </w:pPr>
          </w:p>
        </w:tc>
        <w:tc>
          <w:tcPr>
            <w:tcW w:w="1482" w:type="dxa"/>
            <w:tcBorders>
              <w:top w:val="nil"/>
              <w:bottom w:val="nil"/>
            </w:tcBorders>
            <w:shd w:val="clear" w:color="auto" w:fill="B9CDE5"/>
          </w:tcPr>
          <w:p w14:paraId="27BDD15E" w14:textId="77777777" w:rsidR="00DC3A74" w:rsidRPr="00D613A6" w:rsidRDefault="00DC3A74" w:rsidP="009507AF">
            <w:pPr>
              <w:pStyle w:val="Pamatteksts1"/>
              <w:spacing w:before="40" w:after="40"/>
              <w:ind w:firstLine="0"/>
              <w:jc w:val="right"/>
              <w:rPr>
                <w:bCs/>
                <w:color w:val="17365D"/>
                <w:sz w:val="20"/>
                <w:szCs w:val="20"/>
              </w:rPr>
            </w:pPr>
          </w:p>
        </w:tc>
        <w:tc>
          <w:tcPr>
            <w:tcW w:w="1482" w:type="dxa"/>
            <w:tcBorders>
              <w:top w:val="nil"/>
              <w:bottom w:val="nil"/>
            </w:tcBorders>
            <w:shd w:val="clear" w:color="auto" w:fill="B9CDE5"/>
          </w:tcPr>
          <w:p w14:paraId="3815D5A5" w14:textId="77777777" w:rsidR="00DC3A74" w:rsidRPr="00D613A6" w:rsidRDefault="00DC3A74" w:rsidP="009507AF">
            <w:pPr>
              <w:pStyle w:val="Pamatteksts1"/>
              <w:spacing w:before="40" w:after="40"/>
              <w:ind w:firstLine="0"/>
              <w:jc w:val="right"/>
              <w:rPr>
                <w:bCs/>
                <w:color w:val="17365D"/>
                <w:sz w:val="20"/>
                <w:szCs w:val="20"/>
              </w:rPr>
            </w:pPr>
          </w:p>
        </w:tc>
        <w:tc>
          <w:tcPr>
            <w:tcW w:w="1632" w:type="dxa"/>
            <w:tcBorders>
              <w:top w:val="nil"/>
              <w:bottom w:val="nil"/>
            </w:tcBorders>
            <w:shd w:val="clear" w:color="auto" w:fill="B9CDE5"/>
          </w:tcPr>
          <w:p w14:paraId="38B1F442" w14:textId="77777777" w:rsidR="00DC3A74" w:rsidRPr="00D613A6" w:rsidRDefault="00DC3A74" w:rsidP="009507AF">
            <w:pPr>
              <w:pStyle w:val="Pamatteksts1"/>
              <w:spacing w:before="40" w:after="40"/>
              <w:ind w:firstLine="0"/>
              <w:jc w:val="right"/>
              <w:rPr>
                <w:bCs/>
                <w:color w:val="17365D"/>
                <w:sz w:val="20"/>
                <w:szCs w:val="20"/>
              </w:rPr>
            </w:pPr>
          </w:p>
        </w:tc>
        <w:tc>
          <w:tcPr>
            <w:tcW w:w="1328" w:type="dxa"/>
            <w:tcBorders>
              <w:top w:val="nil"/>
              <w:bottom w:val="nil"/>
            </w:tcBorders>
            <w:shd w:val="clear" w:color="auto" w:fill="B9CDE5"/>
          </w:tcPr>
          <w:p w14:paraId="1DF44F3C" w14:textId="77777777" w:rsidR="00DC3A74" w:rsidRPr="00D613A6" w:rsidRDefault="00DC3A74" w:rsidP="009507AF">
            <w:pPr>
              <w:pStyle w:val="Pamatteksts1"/>
              <w:spacing w:before="40" w:after="40"/>
              <w:ind w:firstLine="0"/>
              <w:jc w:val="right"/>
              <w:rPr>
                <w:bCs/>
                <w:color w:val="17365D"/>
                <w:sz w:val="20"/>
                <w:szCs w:val="20"/>
              </w:rPr>
            </w:pPr>
          </w:p>
        </w:tc>
      </w:tr>
    </w:tbl>
    <w:p w14:paraId="2BEF21EB" w14:textId="77777777" w:rsidR="00DC3A74" w:rsidRPr="00D613A6" w:rsidRDefault="00DC3A74" w:rsidP="00474D40">
      <w:pPr>
        <w:pStyle w:val="Pamatteksts1"/>
        <w:rPr>
          <w:noProof w:val="0"/>
          <w:color w:val="17365D"/>
        </w:rPr>
      </w:pPr>
    </w:p>
    <w:p w14:paraId="6E3997EC" w14:textId="26A1E587" w:rsidR="001156C0" w:rsidRPr="00D613A6" w:rsidRDefault="00C85E26" w:rsidP="00474D40">
      <w:pPr>
        <w:pStyle w:val="Pamatteksts1"/>
        <w:rPr>
          <w:noProof w:val="0"/>
          <w:color w:val="17365D"/>
        </w:rPr>
      </w:pPr>
      <w:r w:rsidRPr="00D613A6">
        <w:rPr>
          <w:noProof w:val="0"/>
          <w:color w:val="17365D"/>
        </w:rPr>
        <w:t>Būtiskākie b</w:t>
      </w:r>
      <w:r w:rsidR="007A09E6" w:rsidRPr="00D613A6">
        <w:rPr>
          <w:noProof w:val="0"/>
          <w:color w:val="17365D"/>
        </w:rPr>
        <w:t xml:space="preserve">udžeta izdevumi atbilstoši </w:t>
      </w:r>
      <w:r w:rsidR="007A09E6" w:rsidRPr="00D613A6">
        <w:rPr>
          <w:noProof w:val="0"/>
          <w:color w:val="17365D"/>
          <w:u w:val="single"/>
        </w:rPr>
        <w:t>funkcionālajām kategorijām</w:t>
      </w:r>
      <w:r w:rsidR="007A09E6" w:rsidRPr="00D613A6">
        <w:rPr>
          <w:noProof w:val="0"/>
          <w:color w:val="17365D"/>
        </w:rPr>
        <w:t xml:space="preserve"> </w:t>
      </w:r>
      <w:r w:rsidR="00DF487C" w:rsidRPr="00D613A6">
        <w:rPr>
          <w:color w:val="17365D"/>
        </w:rPr>
        <w:t xml:space="preserve">(turpmāk – funkcijas) </w:t>
      </w:r>
      <w:r w:rsidR="008F2503" w:rsidRPr="00D613A6">
        <w:rPr>
          <w:noProof w:val="0"/>
          <w:color w:val="17365D"/>
        </w:rPr>
        <w:t>20</w:t>
      </w:r>
      <w:r w:rsidR="00523FC0" w:rsidRPr="00D613A6">
        <w:rPr>
          <w:noProof w:val="0"/>
          <w:color w:val="17365D"/>
        </w:rPr>
        <w:t>2</w:t>
      </w:r>
      <w:r w:rsidR="00EF2AF1" w:rsidRPr="00D613A6">
        <w:rPr>
          <w:noProof w:val="0"/>
          <w:color w:val="17365D"/>
        </w:rPr>
        <w:t>4</w:t>
      </w:r>
      <w:r w:rsidR="008F2503" w:rsidRPr="00D613A6">
        <w:rPr>
          <w:noProof w:val="0"/>
          <w:color w:val="17365D"/>
        </w:rPr>
        <w:t>. gad</w:t>
      </w:r>
      <w:r w:rsidR="007A09E6" w:rsidRPr="00D613A6">
        <w:rPr>
          <w:noProof w:val="0"/>
          <w:color w:val="17365D"/>
        </w:rPr>
        <w:t xml:space="preserve">ā </w:t>
      </w:r>
      <w:r w:rsidRPr="00D613A6">
        <w:rPr>
          <w:noProof w:val="0"/>
          <w:color w:val="17365D"/>
        </w:rPr>
        <w:t>veikti</w:t>
      </w:r>
      <w:r w:rsidR="007A09E6" w:rsidRPr="00D613A6">
        <w:rPr>
          <w:noProof w:val="0"/>
          <w:color w:val="17365D"/>
        </w:rPr>
        <w:t xml:space="preserve"> </w:t>
      </w:r>
      <w:r w:rsidR="001D7D3F" w:rsidRPr="00D613A6">
        <w:rPr>
          <w:noProof w:val="0"/>
          <w:color w:val="17365D"/>
        </w:rPr>
        <w:t>sociālās aizsardzības</w:t>
      </w:r>
      <w:r w:rsidR="00677F96" w:rsidRPr="00D613A6">
        <w:rPr>
          <w:noProof w:val="0"/>
          <w:color w:val="17365D"/>
        </w:rPr>
        <w:t xml:space="preserve"> jomā</w:t>
      </w:r>
      <w:r w:rsidR="007A09E6" w:rsidRPr="00D613A6">
        <w:rPr>
          <w:noProof w:val="0"/>
          <w:color w:val="17365D"/>
        </w:rPr>
        <w:t xml:space="preserve">, kas veido </w:t>
      </w:r>
      <w:r w:rsidR="00EF2AF1" w:rsidRPr="00D613A6">
        <w:rPr>
          <w:noProof w:val="0"/>
          <w:color w:val="17365D"/>
        </w:rPr>
        <w:t>5</w:t>
      </w:r>
      <w:r w:rsidR="006D2861" w:rsidRPr="00D613A6">
        <w:rPr>
          <w:noProof w:val="0"/>
          <w:color w:val="17365D"/>
        </w:rPr>
        <w:t> </w:t>
      </w:r>
      <w:r w:rsidR="00EF2AF1" w:rsidRPr="00D613A6">
        <w:rPr>
          <w:noProof w:val="0"/>
          <w:color w:val="17365D"/>
        </w:rPr>
        <w:t>160</w:t>
      </w:r>
      <w:r w:rsidR="007A09E6" w:rsidRPr="00D613A6">
        <w:rPr>
          <w:noProof w:val="0"/>
          <w:color w:val="17365D"/>
        </w:rPr>
        <w:t>,</w:t>
      </w:r>
      <w:r w:rsidR="00EF2AF1" w:rsidRPr="00D613A6">
        <w:rPr>
          <w:noProof w:val="0"/>
          <w:color w:val="17365D"/>
        </w:rPr>
        <w:t>3</w:t>
      </w:r>
      <w:r w:rsidR="00536DFF" w:rsidRPr="00D613A6">
        <w:rPr>
          <w:noProof w:val="0"/>
          <w:color w:val="17365D"/>
        </w:rPr>
        <w:t> </w:t>
      </w:r>
      <w:r w:rsidR="00F820BF" w:rsidRPr="00D613A6">
        <w:rPr>
          <w:noProof w:val="0"/>
          <w:color w:val="17365D"/>
        </w:rPr>
        <w:t>milj. </w:t>
      </w:r>
      <w:r w:rsidR="00F820BF" w:rsidRPr="00D613A6">
        <w:rPr>
          <w:i/>
          <w:noProof w:val="0"/>
          <w:color w:val="17365D"/>
        </w:rPr>
        <w:t>euro</w:t>
      </w:r>
      <w:r w:rsidR="007A09E6" w:rsidRPr="00D613A6">
        <w:rPr>
          <w:noProof w:val="0"/>
          <w:color w:val="17365D"/>
        </w:rPr>
        <w:t xml:space="preserve"> </w:t>
      </w:r>
      <w:r w:rsidR="00A976C0" w:rsidRPr="00D613A6">
        <w:rPr>
          <w:noProof w:val="0"/>
          <w:color w:val="17365D"/>
        </w:rPr>
        <w:t xml:space="preserve">vērtībā </w:t>
      </w:r>
      <w:r w:rsidR="007A09E6" w:rsidRPr="00D613A6">
        <w:rPr>
          <w:noProof w:val="0"/>
          <w:color w:val="17365D"/>
        </w:rPr>
        <w:t xml:space="preserve">jeb </w:t>
      </w:r>
      <w:r w:rsidR="000F5D93" w:rsidRPr="00D613A6">
        <w:rPr>
          <w:noProof w:val="0"/>
          <w:color w:val="17365D"/>
        </w:rPr>
        <w:t>33</w:t>
      </w:r>
      <w:r w:rsidR="00E13409" w:rsidRPr="00D613A6">
        <w:rPr>
          <w:noProof w:val="0"/>
          <w:color w:val="17365D"/>
        </w:rPr>
        <w:t>,</w:t>
      </w:r>
      <w:r w:rsidR="00EF2AF1" w:rsidRPr="00D613A6">
        <w:rPr>
          <w:noProof w:val="0"/>
          <w:color w:val="17365D"/>
        </w:rPr>
        <w:t>82</w:t>
      </w:r>
      <w:r w:rsidR="006A7956" w:rsidRPr="00D613A6">
        <w:rPr>
          <w:noProof w:val="0"/>
          <w:color w:val="17365D"/>
        </w:rPr>
        <w:t> %</w:t>
      </w:r>
      <w:r w:rsidR="007A09E6" w:rsidRPr="00D613A6">
        <w:rPr>
          <w:noProof w:val="0"/>
          <w:color w:val="17365D"/>
        </w:rPr>
        <w:t xml:space="preserve"> no va</w:t>
      </w:r>
      <w:r w:rsidRPr="00D613A6">
        <w:rPr>
          <w:noProof w:val="0"/>
          <w:color w:val="17365D"/>
        </w:rPr>
        <w:t>lsts konsolidētajiem izdevumiem,</w:t>
      </w:r>
      <w:r w:rsidR="007A09E6" w:rsidRPr="00D613A6">
        <w:rPr>
          <w:noProof w:val="0"/>
          <w:color w:val="17365D"/>
        </w:rPr>
        <w:t xml:space="preserve"> </w:t>
      </w:r>
      <w:r w:rsidR="002A0B3F" w:rsidRPr="00D613A6">
        <w:rPr>
          <w:noProof w:val="0"/>
          <w:color w:val="17365D"/>
        </w:rPr>
        <w:t>ekonomiskajai darbībai</w:t>
      </w:r>
      <w:r w:rsidR="008E6424" w:rsidRPr="00D613A6">
        <w:rPr>
          <w:noProof w:val="0"/>
          <w:color w:val="17365D"/>
        </w:rPr>
        <w:t xml:space="preserve"> – </w:t>
      </w:r>
      <w:r w:rsidR="00E76EAD" w:rsidRPr="00D613A6">
        <w:rPr>
          <w:noProof w:val="0"/>
          <w:color w:val="17365D"/>
        </w:rPr>
        <w:t>2</w:t>
      </w:r>
      <w:r w:rsidR="008F7541" w:rsidRPr="00D613A6">
        <w:rPr>
          <w:noProof w:val="0"/>
          <w:color w:val="17365D"/>
        </w:rPr>
        <w:t> </w:t>
      </w:r>
      <w:r w:rsidR="00EF2AF1" w:rsidRPr="00D613A6">
        <w:rPr>
          <w:noProof w:val="0"/>
          <w:color w:val="17365D"/>
        </w:rPr>
        <w:t>035</w:t>
      </w:r>
      <w:r w:rsidR="008E6424" w:rsidRPr="00D613A6">
        <w:rPr>
          <w:noProof w:val="0"/>
          <w:color w:val="17365D"/>
        </w:rPr>
        <w:t>,</w:t>
      </w:r>
      <w:r w:rsidR="00EF2AF1" w:rsidRPr="00D613A6">
        <w:rPr>
          <w:noProof w:val="0"/>
          <w:color w:val="17365D"/>
        </w:rPr>
        <w:t>8</w:t>
      </w:r>
      <w:r w:rsidR="008E6424" w:rsidRPr="00D613A6">
        <w:rPr>
          <w:noProof w:val="0"/>
          <w:color w:val="17365D"/>
        </w:rPr>
        <w:t> milj. </w:t>
      </w:r>
      <w:r w:rsidR="008E6424" w:rsidRPr="00D613A6">
        <w:rPr>
          <w:i/>
          <w:noProof w:val="0"/>
          <w:color w:val="17365D"/>
        </w:rPr>
        <w:t>euro</w:t>
      </w:r>
      <w:r w:rsidR="008E6424" w:rsidRPr="00D613A6">
        <w:rPr>
          <w:noProof w:val="0"/>
          <w:color w:val="17365D"/>
        </w:rPr>
        <w:t xml:space="preserve"> vērtībā jeb 1</w:t>
      </w:r>
      <w:r w:rsidR="00EF2AF1" w:rsidRPr="00D613A6">
        <w:rPr>
          <w:noProof w:val="0"/>
          <w:color w:val="17365D"/>
        </w:rPr>
        <w:t>3</w:t>
      </w:r>
      <w:r w:rsidR="008E6424" w:rsidRPr="00D613A6">
        <w:rPr>
          <w:noProof w:val="0"/>
          <w:color w:val="17365D"/>
        </w:rPr>
        <w:t>,</w:t>
      </w:r>
      <w:r w:rsidR="00EF2AF1" w:rsidRPr="00D613A6">
        <w:rPr>
          <w:noProof w:val="0"/>
          <w:color w:val="17365D"/>
        </w:rPr>
        <w:t>34</w:t>
      </w:r>
      <w:r w:rsidR="008E6424" w:rsidRPr="00D613A6">
        <w:rPr>
          <w:noProof w:val="0"/>
          <w:color w:val="17365D"/>
        </w:rPr>
        <w:t xml:space="preserve"> % no </w:t>
      </w:r>
      <w:r w:rsidR="007B7E2B" w:rsidRPr="00D613A6">
        <w:rPr>
          <w:noProof w:val="0"/>
          <w:color w:val="17365D"/>
        </w:rPr>
        <w:t xml:space="preserve">valsts konsolidētajiem izdevumiem, </w:t>
      </w:r>
      <w:r w:rsidR="008E6424" w:rsidRPr="00D613A6">
        <w:rPr>
          <w:noProof w:val="0"/>
          <w:color w:val="17365D"/>
        </w:rPr>
        <w:t xml:space="preserve">un </w:t>
      </w:r>
      <w:r w:rsidR="00E76EAD" w:rsidRPr="00D613A6">
        <w:rPr>
          <w:noProof w:val="0"/>
          <w:color w:val="17365D"/>
        </w:rPr>
        <w:t>vispārējās valdības dienesti</w:t>
      </w:r>
      <w:r w:rsidR="00A33644" w:rsidRPr="00D613A6">
        <w:rPr>
          <w:noProof w:val="0"/>
          <w:color w:val="17365D"/>
        </w:rPr>
        <w:t>em</w:t>
      </w:r>
      <w:r w:rsidR="00A33644" w:rsidRPr="00D613A6">
        <w:rPr>
          <w:noProof w:val="0"/>
          <w:color w:val="17365D"/>
        </w:rPr>
        <w:softHyphen/>
        <w:t> </w:t>
      </w:r>
      <w:r w:rsidR="00E53AE1" w:rsidRPr="00D613A6">
        <w:rPr>
          <w:noProof w:val="0"/>
          <w:color w:val="17365D"/>
        </w:rPr>
        <w:t>–</w:t>
      </w:r>
      <w:r w:rsidR="00E13409" w:rsidRPr="00D613A6">
        <w:rPr>
          <w:noProof w:val="0"/>
          <w:color w:val="17365D"/>
        </w:rPr>
        <w:t xml:space="preserve"> 1 </w:t>
      </w:r>
      <w:r w:rsidR="00E76EAD" w:rsidRPr="00D613A6">
        <w:rPr>
          <w:noProof w:val="0"/>
          <w:color w:val="17365D"/>
        </w:rPr>
        <w:t>7</w:t>
      </w:r>
      <w:r w:rsidR="00EF2AF1" w:rsidRPr="00D613A6">
        <w:rPr>
          <w:noProof w:val="0"/>
          <w:color w:val="17365D"/>
        </w:rPr>
        <w:t>67</w:t>
      </w:r>
      <w:r w:rsidR="00E13409" w:rsidRPr="00D613A6">
        <w:rPr>
          <w:noProof w:val="0"/>
          <w:color w:val="17365D"/>
        </w:rPr>
        <w:t>,</w:t>
      </w:r>
      <w:r w:rsidR="00EF2AF1" w:rsidRPr="00D613A6">
        <w:rPr>
          <w:noProof w:val="0"/>
          <w:color w:val="17365D"/>
        </w:rPr>
        <w:t>8</w:t>
      </w:r>
      <w:r w:rsidR="00523FC0" w:rsidRPr="00D613A6">
        <w:rPr>
          <w:noProof w:val="0"/>
          <w:color w:val="17365D"/>
        </w:rPr>
        <w:t> milj. </w:t>
      </w:r>
      <w:r w:rsidR="00523FC0" w:rsidRPr="00D613A6">
        <w:rPr>
          <w:i/>
          <w:noProof w:val="0"/>
          <w:color w:val="17365D"/>
        </w:rPr>
        <w:t>euro</w:t>
      </w:r>
      <w:r w:rsidR="00523FC0" w:rsidRPr="00D613A6">
        <w:rPr>
          <w:noProof w:val="0"/>
          <w:color w:val="17365D"/>
        </w:rPr>
        <w:t xml:space="preserve"> </w:t>
      </w:r>
      <w:r w:rsidR="00A976C0" w:rsidRPr="00D613A6">
        <w:rPr>
          <w:noProof w:val="0"/>
          <w:color w:val="17365D"/>
        </w:rPr>
        <w:t xml:space="preserve">vērtībā </w:t>
      </w:r>
      <w:r w:rsidR="00523FC0" w:rsidRPr="00D613A6">
        <w:rPr>
          <w:noProof w:val="0"/>
          <w:color w:val="17365D"/>
        </w:rPr>
        <w:t xml:space="preserve">jeb </w:t>
      </w:r>
      <w:r w:rsidR="000F5D93" w:rsidRPr="00D613A6">
        <w:rPr>
          <w:noProof w:val="0"/>
          <w:color w:val="17365D"/>
        </w:rPr>
        <w:t>1</w:t>
      </w:r>
      <w:r w:rsidR="00EF2AF1" w:rsidRPr="00D613A6">
        <w:rPr>
          <w:noProof w:val="0"/>
          <w:color w:val="17365D"/>
        </w:rPr>
        <w:t>1</w:t>
      </w:r>
      <w:r w:rsidR="00523FC0" w:rsidRPr="00D613A6">
        <w:rPr>
          <w:noProof w:val="0"/>
          <w:color w:val="17365D"/>
        </w:rPr>
        <w:t>,</w:t>
      </w:r>
      <w:r w:rsidR="00EF2AF1" w:rsidRPr="00D613A6">
        <w:rPr>
          <w:noProof w:val="0"/>
          <w:color w:val="17365D"/>
        </w:rPr>
        <w:t>59</w:t>
      </w:r>
      <w:r w:rsidR="00523FC0" w:rsidRPr="00D613A6">
        <w:rPr>
          <w:noProof w:val="0"/>
          <w:color w:val="17365D"/>
        </w:rPr>
        <w:t xml:space="preserve"> % no </w:t>
      </w:r>
      <w:r w:rsidR="007B7E2B" w:rsidRPr="00D613A6">
        <w:rPr>
          <w:noProof w:val="0"/>
          <w:color w:val="17365D"/>
        </w:rPr>
        <w:t xml:space="preserve">valsts konsolidētajiem izdevumiem </w:t>
      </w:r>
      <w:r w:rsidR="007A09E6" w:rsidRPr="00D613A6">
        <w:rPr>
          <w:noProof w:val="0"/>
          <w:color w:val="17365D"/>
        </w:rPr>
        <w:t xml:space="preserve">(skatīt </w:t>
      </w:r>
      <w:r w:rsidR="00B738D5" w:rsidRPr="00D613A6">
        <w:rPr>
          <w:noProof w:val="0"/>
          <w:color w:val="17365D"/>
        </w:rPr>
        <w:t>6.</w:t>
      </w:r>
      <w:r w:rsidR="00D33F96" w:rsidRPr="00D613A6">
        <w:rPr>
          <w:noProof w:val="0"/>
          <w:color w:val="17365D"/>
        </w:rPr>
        <w:t>3</w:t>
      </w:r>
      <w:r w:rsidR="007A09E6" w:rsidRPr="00D613A6">
        <w:rPr>
          <w:noProof w:val="0"/>
          <w:color w:val="17365D"/>
        </w:rPr>
        <w:t>.</w:t>
      </w:r>
      <w:r w:rsidR="007F357D" w:rsidRPr="00D613A6">
        <w:rPr>
          <w:noProof w:val="0"/>
          <w:color w:val="17365D"/>
        </w:rPr>
        <w:t> </w:t>
      </w:r>
      <w:r w:rsidR="007A09E6" w:rsidRPr="00D613A6">
        <w:rPr>
          <w:noProof w:val="0"/>
          <w:color w:val="17365D"/>
        </w:rPr>
        <w:t>attēlu).</w:t>
      </w:r>
    </w:p>
    <w:p w14:paraId="18C76AC9" w14:textId="17A37D8B" w:rsidR="00817FCD" w:rsidRPr="00D613A6" w:rsidRDefault="00817FCD" w:rsidP="00474D40">
      <w:pPr>
        <w:pStyle w:val="Pamatteksts1"/>
        <w:rPr>
          <w:noProof w:val="0"/>
          <w:color w:val="17365D"/>
        </w:rPr>
      </w:pPr>
    </w:p>
    <w:p w14:paraId="1B2001AB" w14:textId="76140413" w:rsidR="00862D2D" w:rsidRPr="00D613A6" w:rsidRDefault="00817FCD" w:rsidP="008F7541">
      <w:pPr>
        <w:pStyle w:val="Pamatteksts1"/>
        <w:ind w:firstLine="0"/>
        <w:rPr>
          <w:noProof w:val="0"/>
          <w:color w:val="17365D"/>
        </w:rPr>
      </w:pPr>
      <w:r w:rsidRPr="00D613A6">
        <w:rPr>
          <w:color w:val="17365D"/>
        </w:rPr>
        <w:drawing>
          <wp:anchor distT="0" distB="0" distL="114300" distR="114300" simplePos="0" relativeHeight="251667968" behindDoc="0" locked="0" layoutInCell="1" allowOverlap="1" wp14:anchorId="331C9636" wp14:editId="1E85DAEA">
            <wp:simplePos x="0" y="0"/>
            <wp:positionH relativeFrom="column">
              <wp:posOffset>3423285</wp:posOffset>
            </wp:positionH>
            <wp:positionV relativeFrom="paragraph">
              <wp:posOffset>1397610</wp:posOffset>
            </wp:positionV>
            <wp:extent cx="2514286" cy="2000000"/>
            <wp:effectExtent l="0" t="0" r="635" b="63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514286" cy="2000000"/>
                    </a:xfrm>
                    <a:prstGeom prst="rect">
                      <a:avLst/>
                    </a:prstGeom>
                  </pic:spPr>
                </pic:pic>
              </a:graphicData>
            </a:graphic>
          </wp:anchor>
        </w:drawing>
      </w:r>
      <w:r w:rsidR="00897183" w:rsidRPr="00D613A6">
        <w:rPr>
          <w:color w:val="17365D"/>
        </w:rPr>
        <w:drawing>
          <wp:inline distT="0" distB="0" distL="0" distR="0" wp14:anchorId="4F28A79F" wp14:editId="74600841">
            <wp:extent cx="5941060" cy="3698240"/>
            <wp:effectExtent l="0" t="0" r="254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C986FB3" w14:textId="2CF81C52" w:rsidR="004F6D35" w:rsidRPr="00D613A6" w:rsidRDefault="00897761" w:rsidP="00D22434">
      <w:pPr>
        <w:pStyle w:val="Attlanosaukums"/>
        <w:ind w:firstLine="0"/>
        <w:rPr>
          <w:noProof w:val="0"/>
          <w:color w:val="17365D"/>
        </w:rPr>
      </w:pPr>
      <w:r w:rsidRPr="00D613A6">
        <w:rPr>
          <w:noProof w:val="0"/>
          <w:color w:val="17365D"/>
        </w:rPr>
        <w:t>6.</w:t>
      </w:r>
      <w:r w:rsidR="00D33F96" w:rsidRPr="00D613A6">
        <w:rPr>
          <w:noProof w:val="0"/>
          <w:color w:val="17365D"/>
        </w:rPr>
        <w:t>3</w:t>
      </w:r>
      <w:r w:rsidR="0099580E" w:rsidRPr="00D613A6">
        <w:rPr>
          <w:noProof w:val="0"/>
          <w:color w:val="17365D"/>
        </w:rPr>
        <w:t>.</w:t>
      </w:r>
      <w:r w:rsidR="007F357D" w:rsidRPr="00D613A6">
        <w:rPr>
          <w:noProof w:val="0"/>
          <w:color w:val="17365D"/>
        </w:rPr>
        <w:t> </w:t>
      </w:r>
      <w:r w:rsidR="0099580E" w:rsidRPr="00D613A6">
        <w:rPr>
          <w:noProof w:val="0"/>
          <w:color w:val="17365D"/>
        </w:rPr>
        <w:t xml:space="preserve">attēls. </w:t>
      </w:r>
      <w:r w:rsidR="005A03C8" w:rsidRPr="00D613A6">
        <w:rPr>
          <w:noProof w:val="0"/>
          <w:color w:val="17365D"/>
        </w:rPr>
        <w:t>Konsolidētā valsts budžeta izdevumi</w:t>
      </w:r>
      <w:r w:rsidR="0099580E" w:rsidRPr="00D613A6">
        <w:rPr>
          <w:noProof w:val="0"/>
          <w:color w:val="17365D"/>
        </w:rPr>
        <w:t xml:space="preserve"> pa funkci</w:t>
      </w:r>
      <w:r w:rsidR="00B51F4B" w:rsidRPr="00D613A6">
        <w:rPr>
          <w:noProof w:val="0"/>
          <w:color w:val="17365D"/>
        </w:rPr>
        <w:t xml:space="preserve">onālajām kategorijām </w:t>
      </w:r>
      <w:r w:rsidR="00514C16" w:rsidRPr="00D613A6">
        <w:rPr>
          <w:noProof w:val="0"/>
          <w:color w:val="17365D"/>
        </w:rPr>
        <w:t>20</w:t>
      </w:r>
      <w:r w:rsidR="00AE4BAE" w:rsidRPr="00D613A6">
        <w:rPr>
          <w:noProof w:val="0"/>
          <w:color w:val="17365D"/>
        </w:rPr>
        <w:t>2</w:t>
      </w:r>
      <w:r w:rsidR="005A03C8" w:rsidRPr="00D613A6">
        <w:rPr>
          <w:noProof w:val="0"/>
          <w:color w:val="17365D"/>
        </w:rPr>
        <w:t>3</w:t>
      </w:r>
      <w:r w:rsidR="00514C16" w:rsidRPr="00D613A6">
        <w:rPr>
          <w:noProof w:val="0"/>
          <w:color w:val="17365D"/>
        </w:rPr>
        <w:t>. gadā un 20</w:t>
      </w:r>
      <w:r w:rsidR="005A03C8" w:rsidRPr="00D613A6">
        <w:rPr>
          <w:noProof w:val="0"/>
          <w:color w:val="17365D"/>
        </w:rPr>
        <w:t>24</w:t>
      </w:r>
      <w:r w:rsidR="00514C16" w:rsidRPr="00D613A6">
        <w:rPr>
          <w:noProof w:val="0"/>
          <w:color w:val="17365D"/>
        </w:rPr>
        <w:t>. gadā</w:t>
      </w:r>
    </w:p>
    <w:p w14:paraId="6D030810" w14:textId="1BF0479B" w:rsidR="00D33F96" w:rsidRPr="00D613A6" w:rsidRDefault="00D33F96" w:rsidP="00D33F96">
      <w:pPr>
        <w:pStyle w:val="Pamatteksts1"/>
        <w:rPr>
          <w:bCs/>
          <w:noProof w:val="0"/>
          <w:color w:val="17365D"/>
        </w:rPr>
      </w:pPr>
      <w:r w:rsidRPr="00D613A6">
        <w:rPr>
          <w:bCs/>
          <w:noProof w:val="0"/>
          <w:color w:val="17365D"/>
          <w:u w:val="single"/>
        </w:rPr>
        <w:t>Valsts konsolidētā budžeta finansiālās bilances</w:t>
      </w:r>
      <w:r w:rsidRPr="00D613A6">
        <w:rPr>
          <w:bCs/>
          <w:noProof w:val="0"/>
          <w:color w:val="17365D"/>
        </w:rPr>
        <w:t xml:space="preserve"> rezultāts pārskata gadā pēc naudas plūsmas principa ir </w:t>
      </w:r>
      <w:r w:rsidRPr="00D613A6">
        <w:rPr>
          <w:noProof w:val="0"/>
          <w:color w:val="17365D"/>
        </w:rPr>
        <w:t>deficīts 652,0</w:t>
      </w:r>
      <w:r w:rsidRPr="00D613A6">
        <w:rPr>
          <w:bCs/>
          <w:noProof w:val="0"/>
          <w:color w:val="17365D"/>
        </w:rPr>
        <w:t xml:space="preserve"> milj. </w:t>
      </w:r>
      <w:r w:rsidRPr="00D613A6">
        <w:rPr>
          <w:bCs/>
          <w:i/>
          <w:noProof w:val="0"/>
          <w:color w:val="17365D"/>
        </w:rPr>
        <w:t>euro</w:t>
      </w:r>
      <w:r w:rsidRPr="00D613A6">
        <w:rPr>
          <w:bCs/>
          <w:noProof w:val="0"/>
          <w:color w:val="17365D"/>
        </w:rPr>
        <w:t xml:space="preserve"> vērtībā jeb 1,62 % apjomā no iekšzemes kopprodukta, salīdzinoši 2023. gadā valsts konsolidētā budžeta finansiālā bilance bija ar deficītu 1 174,0 milj. </w:t>
      </w:r>
      <w:r w:rsidRPr="00D613A6">
        <w:rPr>
          <w:bCs/>
          <w:i/>
          <w:noProof w:val="0"/>
          <w:color w:val="17365D"/>
        </w:rPr>
        <w:t>euro</w:t>
      </w:r>
      <w:r w:rsidRPr="00D613A6">
        <w:rPr>
          <w:bCs/>
          <w:noProof w:val="0"/>
          <w:color w:val="17365D"/>
        </w:rPr>
        <w:t xml:space="preserve"> (skatīt 6.4. attēlu). </w:t>
      </w:r>
    </w:p>
    <w:p w14:paraId="28593F68" w14:textId="256FA4DA" w:rsidR="00D33F96" w:rsidRPr="00D613A6" w:rsidRDefault="00D33F96" w:rsidP="00D33F96">
      <w:pPr>
        <w:pStyle w:val="Pamatteksts1"/>
        <w:ind w:firstLine="0"/>
        <w:rPr>
          <w:noProof w:val="0"/>
          <w:color w:val="17365D"/>
        </w:rPr>
      </w:pPr>
      <w:r w:rsidRPr="00D613A6">
        <w:rPr>
          <w:color w:val="17365D"/>
        </w:rPr>
        <w:lastRenderedPageBreak/>
        <w:drawing>
          <wp:inline distT="0" distB="0" distL="0" distR="0" wp14:anchorId="4713F6F1" wp14:editId="492DE525">
            <wp:extent cx="5941060" cy="4335780"/>
            <wp:effectExtent l="0" t="0" r="2540" b="762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2E23A59" w14:textId="3B48FA17" w:rsidR="00D33F96" w:rsidRPr="00D613A6" w:rsidRDefault="00D33F96" w:rsidP="00D33F96">
      <w:pPr>
        <w:pStyle w:val="Attlanosaukums"/>
        <w:spacing w:before="240"/>
        <w:ind w:firstLine="0"/>
        <w:rPr>
          <w:noProof w:val="0"/>
          <w:color w:val="17365D"/>
        </w:rPr>
      </w:pPr>
      <w:r w:rsidRPr="00D613A6">
        <w:rPr>
          <w:noProof w:val="0"/>
          <w:color w:val="17365D"/>
        </w:rPr>
        <w:t>6.4. attēls. Konsolidētā valsts budžeta finansiālā bilance 2015.</w:t>
      </w:r>
      <w:r w:rsidR="005974A9" w:rsidRPr="00D613A6">
        <w:rPr>
          <w:noProof w:val="0"/>
          <w:color w:val="17365D"/>
        </w:rPr>
        <w:t xml:space="preserve"> </w:t>
      </w:r>
      <w:r w:rsidR="0042624D" w:rsidRPr="00D613A6">
        <w:rPr>
          <w:noProof w:val="0"/>
          <w:color w:val="17365D"/>
        </w:rPr>
        <w:t>–</w:t>
      </w:r>
      <w:r w:rsidR="005974A9" w:rsidRPr="00D613A6">
        <w:rPr>
          <w:noProof w:val="0"/>
          <w:color w:val="17365D"/>
        </w:rPr>
        <w:t xml:space="preserve">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4A6BAA4D" w14:textId="77777777" w:rsidR="00D33F96" w:rsidRPr="00D613A6" w:rsidRDefault="00D33F96" w:rsidP="00B06E90">
      <w:pPr>
        <w:pStyle w:val="Pamatteksts1"/>
        <w:rPr>
          <w:noProof w:val="0"/>
          <w:color w:val="17365D"/>
        </w:rPr>
      </w:pPr>
    </w:p>
    <w:p w14:paraId="3A13B565" w14:textId="72329390" w:rsidR="00796C37" w:rsidRPr="00D613A6" w:rsidRDefault="00EF2AF1" w:rsidP="00B06E90">
      <w:pPr>
        <w:pStyle w:val="Pamatteksts1"/>
        <w:rPr>
          <w:i/>
          <w:noProof w:val="0"/>
          <w:color w:val="17365D"/>
        </w:rPr>
      </w:pPr>
      <w:r w:rsidRPr="00D613A6">
        <w:rPr>
          <w:noProof w:val="0"/>
          <w:color w:val="17365D"/>
        </w:rPr>
        <w:t>Valsts parāds 2024</w:t>
      </w:r>
      <w:r w:rsidR="00796C37" w:rsidRPr="00D613A6">
        <w:rPr>
          <w:noProof w:val="0"/>
          <w:color w:val="17365D"/>
        </w:rPr>
        <w:t>.</w:t>
      </w:r>
      <w:r w:rsidR="002B68D2" w:rsidRPr="00D613A6">
        <w:rPr>
          <w:noProof w:val="0"/>
          <w:color w:val="17365D"/>
        </w:rPr>
        <w:t> </w:t>
      </w:r>
      <w:r w:rsidR="00796C37" w:rsidRPr="00D613A6">
        <w:rPr>
          <w:noProof w:val="0"/>
          <w:color w:val="17365D"/>
        </w:rPr>
        <w:t>gada 31.</w:t>
      </w:r>
      <w:r w:rsidR="002B68D2" w:rsidRPr="00D613A6">
        <w:rPr>
          <w:noProof w:val="0"/>
          <w:color w:val="17365D"/>
        </w:rPr>
        <w:t> </w:t>
      </w:r>
      <w:r w:rsidR="00A33644" w:rsidRPr="00D613A6">
        <w:rPr>
          <w:noProof w:val="0"/>
          <w:color w:val="17365D"/>
        </w:rPr>
        <w:t>decembrī ir 1</w:t>
      </w:r>
      <w:r w:rsidRPr="00D613A6">
        <w:rPr>
          <w:noProof w:val="0"/>
          <w:color w:val="17365D"/>
        </w:rPr>
        <w:t>9</w:t>
      </w:r>
      <w:r w:rsidR="00A33644" w:rsidRPr="00D613A6">
        <w:rPr>
          <w:noProof w:val="0"/>
          <w:color w:val="17365D"/>
        </w:rPr>
        <w:t> </w:t>
      </w:r>
      <w:r w:rsidRPr="00D613A6">
        <w:rPr>
          <w:noProof w:val="0"/>
          <w:color w:val="17365D"/>
        </w:rPr>
        <w:t>056</w:t>
      </w:r>
      <w:r w:rsidR="00A33644" w:rsidRPr="00D613A6">
        <w:rPr>
          <w:noProof w:val="0"/>
          <w:color w:val="17365D"/>
        </w:rPr>
        <w:t>,</w:t>
      </w:r>
      <w:r w:rsidRPr="00D613A6">
        <w:rPr>
          <w:noProof w:val="0"/>
          <w:color w:val="17365D"/>
        </w:rPr>
        <w:t>1</w:t>
      </w:r>
      <w:r w:rsidR="00796C37" w:rsidRPr="00D613A6">
        <w:rPr>
          <w:noProof w:val="0"/>
          <w:color w:val="17365D"/>
        </w:rPr>
        <w:t xml:space="preserve"> </w:t>
      </w:r>
      <w:r w:rsidR="00576FA9" w:rsidRPr="00D613A6">
        <w:rPr>
          <w:noProof w:val="0"/>
          <w:color w:val="17365D"/>
        </w:rPr>
        <w:t xml:space="preserve">milj. </w:t>
      </w:r>
      <w:r w:rsidR="00796C37" w:rsidRPr="00D613A6">
        <w:rPr>
          <w:i/>
          <w:noProof w:val="0"/>
          <w:color w:val="17365D"/>
        </w:rPr>
        <w:t>euro</w:t>
      </w:r>
      <w:r w:rsidR="00796C37" w:rsidRPr="00D613A6">
        <w:rPr>
          <w:noProof w:val="0"/>
          <w:color w:val="17365D"/>
        </w:rPr>
        <w:t>, tas</w:t>
      </w:r>
      <w:r w:rsidR="00796C37" w:rsidRPr="00D613A6">
        <w:rPr>
          <w:color w:val="17365D"/>
        </w:rPr>
        <w:t xml:space="preserve"> </w:t>
      </w:r>
      <w:r w:rsidR="003A0731">
        <w:rPr>
          <w:noProof w:val="0"/>
          <w:color w:val="17365D"/>
        </w:rPr>
        <w:t>nesa</w:t>
      </w:r>
      <w:r w:rsidR="00796C37" w:rsidRPr="00D613A6">
        <w:rPr>
          <w:noProof w:val="0"/>
          <w:color w:val="17365D"/>
        </w:rPr>
        <w:t>sniedz</w:t>
      </w:r>
      <w:r w:rsidR="00954C46" w:rsidRPr="00D613A6">
        <w:rPr>
          <w:noProof w:val="0"/>
          <w:color w:val="17365D"/>
        </w:rPr>
        <w:t xml:space="preserve"> L</w:t>
      </w:r>
      <w:r w:rsidR="00796C37" w:rsidRPr="00D613A6">
        <w:rPr>
          <w:noProof w:val="0"/>
          <w:color w:val="17365D"/>
        </w:rPr>
        <w:t>ikumā noteikt</w:t>
      </w:r>
      <w:r w:rsidR="00954C46" w:rsidRPr="00D613A6">
        <w:rPr>
          <w:noProof w:val="0"/>
          <w:color w:val="17365D"/>
        </w:rPr>
        <w:t>o</w:t>
      </w:r>
      <w:r w:rsidR="00796C37" w:rsidRPr="00D613A6">
        <w:rPr>
          <w:noProof w:val="0"/>
          <w:color w:val="17365D"/>
        </w:rPr>
        <w:t xml:space="preserve"> maksimāl</w:t>
      </w:r>
      <w:r w:rsidR="00954C46" w:rsidRPr="00D613A6">
        <w:rPr>
          <w:noProof w:val="0"/>
          <w:color w:val="17365D"/>
        </w:rPr>
        <w:t>o</w:t>
      </w:r>
      <w:r w:rsidR="00796C37" w:rsidRPr="00D613A6">
        <w:rPr>
          <w:noProof w:val="0"/>
          <w:color w:val="17365D"/>
        </w:rPr>
        <w:t xml:space="preserve"> valsts parād</w:t>
      </w:r>
      <w:r w:rsidR="00B06E90" w:rsidRPr="00D613A6">
        <w:rPr>
          <w:noProof w:val="0"/>
          <w:color w:val="17365D"/>
        </w:rPr>
        <w:t>u</w:t>
      </w:r>
      <w:r w:rsidRPr="00D613A6">
        <w:rPr>
          <w:noProof w:val="0"/>
          <w:color w:val="17365D"/>
        </w:rPr>
        <w:t xml:space="preserve"> 2024</w:t>
      </w:r>
      <w:r w:rsidR="00796C37" w:rsidRPr="00D613A6">
        <w:rPr>
          <w:noProof w:val="0"/>
          <w:color w:val="17365D"/>
        </w:rPr>
        <w:t>.</w:t>
      </w:r>
      <w:r w:rsidR="002B68D2" w:rsidRPr="00D613A6">
        <w:rPr>
          <w:noProof w:val="0"/>
          <w:color w:val="17365D"/>
        </w:rPr>
        <w:t> </w:t>
      </w:r>
      <w:r w:rsidR="00796C37" w:rsidRPr="00D613A6">
        <w:rPr>
          <w:noProof w:val="0"/>
          <w:color w:val="17365D"/>
        </w:rPr>
        <w:t>gada beigās 19</w:t>
      </w:r>
      <w:r w:rsidR="00B06E90" w:rsidRPr="00D613A6">
        <w:rPr>
          <w:noProof w:val="0"/>
          <w:color w:val="17365D"/>
        </w:rPr>
        <w:t> </w:t>
      </w:r>
      <w:r w:rsidR="00EE1361" w:rsidRPr="00D613A6">
        <w:rPr>
          <w:noProof w:val="0"/>
          <w:color w:val="17365D"/>
        </w:rPr>
        <w:t>3</w:t>
      </w:r>
      <w:r w:rsidR="00796C37" w:rsidRPr="00D613A6">
        <w:rPr>
          <w:noProof w:val="0"/>
          <w:color w:val="17365D"/>
        </w:rPr>
        <w:t>00</w:t>
      </w:r>
      <w:r w:rsidR="00B06E90" w:rsidRPr="00D613A6">
        <w:rPr>
          <w:noProof w:val="0"/>
          <w:color w:val="17365D"/>
        </w:rPr>
        <w:t>,0</w:t>
      </w:r>
      <w:r w:rsidR="00796C37" w:rsidRPr="00D613A6">
        <w:rPr>
          <w:noProof w:val="0"/>
          <w:color w:val="17365D"/>
        </w:rPr>
        <w:t xml:space="preserve"> </w:t>
      </w:r>
      <w:r w:rsidR="00B06E90" w:rsidRPr="00D613A6">
        <w:rPr>
          <w:noProof w:val="0"/>
          <w:color w:val="17365D"/>
        </w:rPr>
        <w:t>milj</w:t>
      </w:r>
      <w:r w:rsidR="007B722C" w:rsidRPr="00D613A6">
        <w:rPr>
          <w:noProof w:val="0"/>
          <w:color w:val="17365D"/>
        </w:rPr>
        <w:t>.</w:t>
      </w:r>
      <w:r w:rsidR="00B06E90" w:rsidRPr="00D613A6">
        <w:rPr>
          <w:i/>
          <w:noProof w:val="0"/>
          <w:color w:val="17365D"/>
        </w:rPr>
        <w:t xml:space="preserve"> </w:t>
      </w:r>
      <w:r w:rsidR="00796C37" w:rsidRPr="00D613A6">
        <w:rPr>
          <w:i/>
          <w:noProof w:val="0"/>
          <w:color w:val="17365D"/>
        </w:rPr>
        <w:t>euro</w:t>
      </w:r>
      <w:r w:rsidR="00954C46" w:rsidRPr="00D613A6">
        <w:rPr>
          <w:noProof w:val="0"/>
          <w:color w:val="17365D"/>
        </w:rPr>
        <w:t xml:space="preserve"> nominālvērtībā.</w:t>
      </w:r>
      <w:r w:rsidR="00954C46" w:rsidRPr="00D613A6">
        <w:rPr>
          <w:color w:val="17365D"/>
        </w:rPr>
        <w:t xml:space="preserve"> </w:t>
      </w:r>
      <w:r w:rsidRPr="00D613A6">
        <w:rPr>
          <w:noProof w:val="0"/>
          <w:color w:val="17365D"/>
        </w:rPr>
        <w:t>2024</w:t>
      </w:r>
      <w:r w:rsidR="00954C46" w:rsidRPr="00D613A6">
        <w:rPr>
          <w:noProof w:val="0"/>
          <w:color w:val="17365D"/>
        </w:rPr>
        <w:t>.</w:t>
      </w:r>
      <w:r w:rsidR="002B68D2" w:rsidRPr="00D613A6">
        <w:rPr>
          <w:noProof w:val="0"/>
          <w:color w:val="17365D"/>
        </w:rPr>
        <w:t> </w:t>
      </w:r>
      <w:r w:rsidR="00954C46" w:rsidRPr="00D613A6">
        <w:rPr>
          <w:noProof w:val="0"/>
          <w:color w:val="17365D"/>
        </w:rPr>
        <w:t>gada beigās valsts parāda struktūrā lielāko daļu veidoja</w:t>
      </w:r>
      <w:r w:rsidR="00954C46" w:rsidRPr="00D613A6">
        <w:rPr>
          <w:color w:val="17365D"/>
        </w:rPr>
        <w:t xml:space="preserve"> </w:t>
      </w:r>
      <w:r w:rsidR="00954C46" w:rsidRPr="00D613A6">
        <w:rPr>
          <w:noProof w:val="0"/>
          <w:color w:val="17365D"/>
        </w:rPr>
        <w:t>Latvijas valdības starptautiskajos finanšu tirgos emitētās obligācijas 1</w:t>
      </w:r>
      <w:r w:rsidR="00407F32" w:rsidRPr="00D613A6">
        <w:rPr>
          <w:noProof w:val="0"/>
          <w:color w:val="17365D"/>
        </w:rPr>
        <w:t>6</w:t>
      </w:r>
      <w:r w:rsidR="00954C46" w:rsidRPr="00D613A6">
        <w:rPr>
          <w:noProof w:val="0"/>
          <w:color w:val="17365D"/>
        </w:rPr>
        <w:t> </w:t>
      </w:r>
      <w:r w:rsidR="00407F32" w:rsidRPr="00D613A6">
        <w:rPr>
          <w:noProof w:val="0"/>
          <w:color w:val="17365D"/>
        </w:rPr>
        <w:t>170</w:t>
      </w:r>
      <w:r w:rsidR="00954C46" w:rsidRPr="00D613A6">
        <w:rPr>
          <w:noProof w:val="0"/>
          <w:color w:val="17365D"/>
        </w:rPr>
        <w:t>,</w:t>
      </w:r>
      <w:r w:rsidR="00407F32" w:rsidRPr="00D613A6">
        <w:rPr>
          <w:noProof w:val="0"/>
          <w:color w:val="17365D"/>
        </w:rPr>
        <w:t>4</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Valsts iekšējā aizņēmuma ilgtermiņa obligācijas 476,</w:t>
      </w:r>
      <w:r w:rsidR="00407F32" w:rsidRPr="00D613A6">
        <w:rPr>
          <w:noProof w:val="0"/>
          <w:color w:val="17365D"/>
        </w:rPr>
        <w:t>0</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xml:space="preserve"> SURE aizņēmums no Eiropas Komisijas (EC) 47</w:t>
      </w:r>
      <w:r w:rsidR="008746EC" w:rsidRPr="00D613A6">
        <w:rPr>
          <w:noProof w:val="0"/>
          <w:color w:val="17365D"/>
        </w:rPr>
        <w:t>2</w:t>
      </w:r>
      <w:r w:rsidR="00954C46" w:rsidRPr="00D613A6">
        <w:rPr>
          <w:noProof w:val="0"/>
          <w:color w:val="17365D"/>
        </w:rPr>
        <w:t>,</w:t>
      </w:r>
      <w:r w:rsidR="008746EC" w:rsidRPr="00D613A6">
        <w:rPr>
          <w:noProof w:val="0"/>
          <w:color w:val="17365D"/>
        </w:rPr>
        <w:t>0</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ES fondu līdzfinansējums</w:t>
      </w:r>
      <w:r w:rsidR="00053DD1" w:rsidRPr="00D613A6">
        <w:rPr>
          <w:noProof w:val="0"/>
          <w:color w:val="17365D"/>
        </w:rPr>
        <w:t xml:space="preserve"> </w:t>
      </w:r>
      <w:r w:rsidR="00DA6E67" w:rsidRPr="00D613A6">
        <w:rPr>
          <w:noProof w:val="0"/>
          <w:color w:val="17365D"/>
        </w:rPr>
        <w:t>275</w:t>
      </w:r>
      <w:r w:rsidR="00053DD1" w:rsidRPr="00D613A6">
        <w:rPr>
          <w:noProof w:val="0"/>
          <w:color w:val="17365D"/>
        </w:rPr>
        <w:t xml:space="preserve">,0 milj. </w:t>
      </w:r>
      <w:r w:rsidR="00053DD1" w:rsidRPr="00D613A6">
        <w:rPr>
          <w:i/>
          <w:noProof w:val="0"/>
          <w:color w:val="17365D"/>
        </w:rPr>
        <w:t xml:space="preserve">euro, </w:t>
      </w:r>
      <w:r w:rsidR="00053DD1" w:rsidRPr="00D613A6">
        <w:rPr>
          <w:noProof w:val="0"/>
          <w:color w:val="17365D"/>
        </w:rPr>
        <w:t xml:space="preserve">aizņēmums no Eiropas Komisijas </w:t>
      </w:r>
      <w:r w:rsidR="008746EC" w:rsidRPr="00D613A6">
        <w:rPr>
          <w:noProof w:val="0"/>
          <w:color w:val="17365D"/>
        </w:rPr>
        <w:t>200</w:t>
      </w:r>
      <w:r w:rsidR="002B68D2" w:rsidRPr="00D613A6">
        <w:rPr>
          <w:noProof w:val="0"/>
          <w:color w:val="17365D"/>
        </w:rPr>
        <w:t>,</w:t>
      </w:r>
      <w:r w:rsidR="008746EC" w:rsidRPr="00D613A6">
        <w:rPr>
          <w:noProof w:val="0"/>
          <w:color w:val="17365D"/>
        </w:rPr>
        <w:t>0</w:t>
      </w:r>
      <w:r w:rsidR="00053DD1" w:rsidRPr="00D613A6">
        <w:rPr>
          <w:noProof w:val="0"/>
          <w:color w:val="17365D"/>
        </w:rPr>
        <w:t xml:space="preserve"> milj. </w:t>
      </w:r>
      <w:r w:rsidR="00053DD1" w:rsidRPr="00D613A6">
        <w:rPr>
          <w:i/>
          <w:noProof w:val="0"/>
          <w:color w:val="17365D"/>
        </w:rPr>
        <w:t>euro</w:t>
      </w:r>
      <w:r w:rsidR="00053DD1" w:rsidRPr="00D613A6">
        <w:rPr>
          <w:noProof w:val="0"/>
          <w:color w:val="17365D"/>
        </w:rPr>
        <w:t>,</w:t>
      </w:r>
      <w:r w:rsidR="00B06E90" w:rsidRPr="00D613A6">
        <w:rPr>
          <w:color w:val="17365D"/>
        </w:rPr>
        <w:t xml:space="preserve"> </w:t>
      </w:r>
      <w:r w:rsidR="00B06E90" w:rsidRPr="00D613A6">
        <w:rPr>
          <w:noProof w:val="0"/>
          <w:color w:val="17365D"/>
        </w:rPr>
        <w:t xml:space="preserve">Kohēzijas un </w:t>
      </w:r>
      <w:r w:rsidR="00407F32" w:rsidRPr="00D613A6">
        <w:rPr>
          <w:noProof w:val="0"/>
          <w:color w:val="17365D"/>
        </w:rPr>
        <w:t>struktūrfondu līdzfinansējums 24</w:t>
      </w:r>
      <w:r w:rsidR="00B06E90" w:rsidRPr="00D613A6">
        <w:rPr>
          <w:noProof w:val="0"/>
          <w:color w:val="17365D"/>
        </w:rPr>
        <w:t>,</w:t>
      </w:r>
      <w:r w:rsidR="00A25898" w:rsidRPr="00D613A6">
        <w:rPr>
          <w:noProof w:val="0"/>
          <w:color w:val="17365D"/>
        </w:rPr>
        <w:t>4</w:t>
      </w:r>
      <w:r w:rsidR="00B06E90" w:rsidRPr="00D613A6">
        <w:rPr>
          <w:color w:val="17365D"/>
        </w:rPr>
        <w:t xml:space="preserve"> </w:t>
      </w:r>
      <w:r w:rsidR="00B06E90" w:rsidRPr="00D613A6">
        <w:rPr>
          <w:noProof w:val="0"/>
          <w:color w:val="17365D"/>
        </w:rPr>
        <w:t xml:space="preserve">milj. </w:t>
      </w:r>
      <w:r w:rsidR="00B06E90" w:rsidRPr="00D613A6">
        <w:rPr>
          <w:i/>
          <w:noProof w:val="0"/>
          <w:color w:val="17365D"/>
        </w:rPr>
        <w:t>euro</w:t>
      </w:r>
      <w:r w:rsidR="00B06E90" w:rsidRPr="00D613A6">
        <w:rPr>
          <w:noProof w:val="0"/>
          <w:color w:val="17365D"/>
        </w:rPr>
        <w:t>, saistību pārņemšana veselības aprūpe</w:t>
      </w:r>
      <w:r w:rsidR="00407F32" w:rsidRPr="00D613A6">
        <w:rPr>
          <w:noProof w:val="0"/>
          <w:color w:val="17365D"/>
        </w:rPr>
        <w:t>i 11,9</w:t>
      </w:r>
      <w:r w:rsidR="00B06E90" w:rsidRPr="00D613A6">
        <w:rPr>
          <w:noProof w:val="0"/>
          <w:color w:val="17365D"/>
        </w:rPr>
        <w:t xml:space="preserve"> milj. </w:t>
      </w:r>
      <w:r w:rsidR="00B06E90" w:rsidRPr="00D613A6">
        <w:rPr>
          <w:i/>
          <w:noProof w:val="0"/>
          <w:color w:val="17365D"/>
        </w:rPr>
        <w:t>euro</w:t>
      </w:r>
      <w:r w:rsidR="008746EC" w:rsidRPr="00D613A6">
        <w:rPr>
          <w:i/>
          <w:noProof w:val="0"/>
          <w:color w:val="17365D"/>
        </w:rPr>
        <w:t xml:space="preserve">, </w:t>
      </w:r>
      <w:r w:rsidR="008746EC" w:rsidRPr="00D613A6">
        <w:rPr>
          <w:noProof w:val="0"/>
          <w:color w:val="17365D"/>
        </w:rPr>
        <w:t>ministriju, citu centrālo valsts iestāžu un atvasināto publisko personu aizņēmum</w:t>
      </w:r>
      <w:r w:rsidR="00A25898" w:rsidRPr="00D613A6">
        <w:rPr>
          <w:noProof w:val="0"/>
          <w:color w:val="17365D"/>
        </w:rPr>
        <w:t xml:space="preserve">i </w:t>
      </w:r>
      <w:r w:rsidR="00407F32" w:rsidRPr="00D613A6">
        <w:rPr>
          <w:noProof w:val="0"/>
          <w:color w:val="17365D"/>
        </w:rPr>
        <w:t>61,6</w:t>
      </w:r>
      <w:r w:rsidR="00A25898" w:rsidRPr="00D613A6">
        <w:rPr>
          <w:noProof w:val="0"/>
          <w:color w:val="17365D"/>
        </w:rPr>
        <w:t xml:space="preserve"> milj. </w:t>
      </w:r>
      <w:r w:rsidR="00A25898" w:rsidRPr="00D613A6">
        <w:rPr>
          <w:i/>
          <w:noProof w:val="0"/>
          <w:color w:val="17365D"/>
        </w:rPr>
        <w:t>euro</w:t>
      </w:r>
      <w:r w:rsidR="006C4EC6" w:rsidRPr="00D613A6">
        <w:rPr>
          <w:noProof w:val="0"/>
          <w:color w:val="17365D"/>
        </w:rPr>
        <w:t xml:space="preserve"> un noguldījumi (saistības) 1 3</w:t>
      </w:r>
      <w:r w:rsidR="00407F32" w:rsidRPr="00D613A6">
        <w:rPr>
          <w:noProof w:val="0"/>
          <w:color w:val="17365D"/>
        </w:rPr>
        <w:t>64</w:t>
      </w:r>
      <w:r w:rsidR="006C4EC6" w:rsidRPr="00D613A6">
        <w:rPr>
          <w:noProof w:val="0"/>
          <w:color w:val="17365D"/>
        </w:rPr>
        <w:t>,9 milj</w:t>
      </w:r>
      <w:r w:rsidR="006E06CE">
        <w:rPr>
          <w:noProof w:val="0"/>
          <w:color w:val="17365D"/>
        </w:rPr>
        <w:t>.</w:t>
      </w:r>
      <w:r w:rsidR="006C4EC6" w:rsidRPr="00D613A6">
        <w:rPr>
          <w:i/>
          <w:noProof w:val="0"/>
          <w:color w:val="17365D"/>
        </w:rPr>
        <w:t xml:space="preserve"> euro</w:t>
      </w:r>
      <w:r w:rsidR="00B06E90" w:rsidRPr="00D613A6">
        <w:rPr>
          <w:i/>
          <w:noProof w:val="0"/>
          <w:color w:val="17365D"/>
        </w:rPr>
        <w:t>.</w:t>
      </w:r>
    </w:p>
    <w:p w14:paraId="686776F6" w14:textId="1FE0BDAC" w:rsidR="00167A1A" w:rsidRPr="00D613A6" w:rsidRDefault="00B06E90" w:rsidP="00167A1A">
      <w:pPr>
        <w:pStyle w:val="CommentText"/>
        <w:rPr>
          <w:color w:val="17365D"/>
          <w:sz w:val="24"/>
          <w:szCs w:val="24"/>
        </w:rPr>
      </w:pPr>
      <w:r w:rsidRPr="00D613A6">
        <w:rPr>
          <w:color w:val="17365D"/>
          <w:sz w:val="24"/>
          <w:szCs w:val="24"/>
        </w:rPr>
        <w:t>Valsts</w:t>
      </w:r>
      <w:r w:rsidR="00026661" w:rsidRPr="00D613A6">
        <w:rPr>
          <w:color w:val="17365D"/>
          <w:sz w:val="24"/>
          <w:szCs w:val="24"/>
        </w:rPr>
        <w:t xml:space="preserve"> kā</w:t>
      </w:r>
      <w:r w:rsidRPr="00D613A6">
        <w:rPr>
          <w:color w:val="17365D"/>
          <w:sz w:val="24"/>
          <w:szCs w:val="24"/>
        </w:rPr>
        <w:t xml:space="preserve"> </w:t>
      </w:r>
      <w:r w:rsidR="00026661" w:rsidRPr="00D613A6">
        <w:rPr>
          <w:color w:val="17365D"/>
          <w:sz w:val="24"/>
          <w:szCs w:val="24"/>
        </w:rPr>
        <w:t>g</w:t>
      </w:r>
      <w:r w:rsidRPr="00D613A6">
        <w:rPr>
          <w:color w:val="17365D"/>
          <w:sz w:val="24"/>
          <w:szCs w:val="24"/>
        </w:rPr>
        <w:t xml:space="preserve">alvotāja </w:t>
      </w:r>
      <w:r w:rsidR="00EE1361" w:rsidRPr="00D613A6">
        <w:rPr>
          <w:color w:val="17365D"/>
          <w:sz w:val="24"/>
          <w:szCs w:val="24"/>
        </w:rPr>
        <w:t>2024</w:t>
      </w:r>
      <w:r w:rsidR="002B68D2" w:rsidRPr="00D613A6">
        <w:rPr>
          <w:color w:val="17365D"/>
          <w:sz w:val="24"/>
          <w:szCs w:val="24"/>
        </w:rPr>
        <w:t xml:space="preserve">. gadā veikusi maksājumus </w:t>
      </w:r>
      <w:r w:rsidRPr="00D613A6">
        <w:rPr>
          <w:color w:val="17365D"/>
          <w:sz w:val="24"/>
          <w:szCs w:val="24"/>
        </w:rPr>
        <w:t>aizņēmēja</w:t>
      </w:r>
      <w:r w:rsidR="00026661" w:rsidRPr="00D613A6">
        <w:rPr>
          <w:color w:val="17365D"/>
          <w:sz w:val="24"/>
          <w:szCs w:val="24"/>
        </w:rPr>
        <w:t xml:space="preserve"> (studentu)</w:t>
      </w:r>
      <w:r w:rsidRPr="00D613A6">
        <w:rPr>
          <w:color w:val="17365D"/>
          <w:sz w:val="24"/>
          <w:szCs w:val="24"/>
        </w:rPr>
        <w:t xml:space="preserve"> vietā</w:t>
      </w:r>
      <w:r w:rsidR="00026661" w:rsidRPr="00D613A6">
        <w:rPr>
          <w:color w:val="17365D"/>
          <w:sz w:val="24"/>
          <w:szCs w:val="24"/>
        </w:rPr>
        <w:t xml:space="preserve"> 0</w:t>
      </w:r>
      <w:r w:rsidR="002B68D2" w:rsidRPr="00D613A6">
        <w:rPr>
          <w:color w:val="17365D"/>
          <w:sz w:val="24"/>
          <w:szCs w:val="24"/>
        </w:rPr>
        <w:t>,</w:t>
      </w:r>
      <w:r w:rsidR="003A34D8" w:rsidRPr="00D613A6">
        <w:rPr>
          <w:color w:val="17365D"/>
          <w:sz w:val="24"/>
          <w:szCs w:val="24"/>
        </w:rPr>
        <w:t>015</w:t>
      </w:r>
      <w:r w:rsidR="00A33644" w:rsidRPr="00D613A6">
        <w:rPr>
          <w:color w:val="17365D"/>
          <w:sz w:val="24"/>
          <w:szCs w:val="24"/>
        </w:rPr>
        <w:t> milj. </w:t>
      </w:r>
      <w:r w:rsidR="00026661" w:rsidRPr="00D613A6">
        <w:rPr>
          <w:i/>
          <w:color w:val="17365D"/>
          <w:sz w:val="24"/>
          <w:szCs w:val="24"/>
        </w:rPr>
        <w:t>euro</w:t>
      </w:r>
      <w:r w:rsidR="00167A1A" w:rsidRPr="00D613A6">
        <w:rPr>
          <w:color w:val="17365D"/>
          <w:sz w:val="24"/>
          <w:szCs w:val="24"/>
        </w:rPr>
        <w:t>.</w:t>
      </w:r>
      <w:r w:rsidR="00026661" w:rsidRPr="00D613A6">
        <w:rPr>
          <w:color w:val="17365D"/>
          <w:sz w:val="24"/>
          <w:szCs w:val="24"/>
        </w:rPr>
        <w:t xml:space="preserve"> </w:t>
      </w:r>
      <w:r w:rsidR="00167A1A" w:rsidRPr="00D613A6">
        <w:rPr>
          <w:color w:val="17365D"/>
          <w:sz w:val="24"/>
          <w:szCs w:val="24"/>
        </w:rPr>
        <w:t>Likumā pieļaujamā robeža uz valsts budžetu attiecinām</w:t>
      </w:r>
      <w:r w:rsidR="002B68D2" w:rsidRPr="00D613A6">
        <w:rPr>
          <w:color w:val="17365D"/>
          <w:sz w:val="24"/>
          <w:szCs w:val="24"/>
        </w:rPr>
        <w:t>o</w:t>
      </w:r>
      <w:r w:rsidR="00167A1A" w:rsidRPr="00D613A6">
        <w:rPr>
          <w:color w:val="17365D"/>
          <w:sz w:val="24"/>
          <w:szCs w:val="24"/>
        </w:rPr>
        <w:t xml:space="preserve"> valsts vārdā sniegto galvojumu parāda saistību segšanai ir 0,</w:t>
      </w:r>
      <w:r w:rsidR="00EE1361" w:rsidRPr="00D613A6">
        <w:rPr>
          <w:color w:val="17365D"/>
          <w:sz w:val="24"/>
          <w:szCs w:val="24"/>
        </w:rPr>
        <w:t>672</w:t>
      </w:r>
      <w:r w:rsidR="00167A1A" w:rsidRPr="00D613A6">
        <w:rPr>
          <w:color w:val="17365D"/>
          <w:sz w:val="24"/>
          <w:szCs w:val="24"/>
        </w:rPr>
        <w:t xml:space="preserve"> milj. </w:t>
      </w:r>
      <w:r w:rsidR="002B68D2" w:rsidRPr="00D613A6">
        <w:rPr>
          <w:i/>
          <w:color w:val="17365D"/>
          <w:sz w:val="24"/>
          <w:szCs w:val="24"/>
        </w:rPr>
        <w:t>euro</w:t>
      </w:r>
      <w:r w:rsidR="003A0731">
        <w:rPr>
          <w:color w:val="17365D"/>
          <w:sz w:val="24"/>
          <w:szCs w:val="24"/>
        </w:rPr>
        <w:t xml:space="preserve">, savukārt, no iepriekšējos periodos samaksātajiem </w:t>
      </w:r>
      <w:r w:rsidR="00167A1A" w:rsidRPr="00D613A6">
        <w:rPr>
          <w:color w:val="17365D"/>
          <w:sz w:val="24"/>
          <w:szCs w:val="24"/>
        </w:rPr>
        <w:t>līdzekļiem aizņēmēja vietā</w:t>
      </w:r>
      <w:r w:rsidR="003A0731">
        <w:rPr>
          <w:color w:val="17365D"/>
          <w:sz w:val="24"/>
          <w:szCs w:val="24"/>
        </w:rPr>
        <w:t>, atgūti</w:t>
      </w:r>
      <w:r w:rsidR="00167A1A" w:rsidRPr="00D613A6">
        <w:rPr>
          <w:color w:val="17365D"/>
          <w:sz w:val="24"/>
          <w:szCs w:val="24"/>
        </w:rPr>
        <w:t xml:space="preserve"> 0</w:t>
      </w:r>
      <w:r w:rsidR="002B68D2" w:rsidRPr="00D613A6">
        <w:rPr>
          <w:color w:val="17365D"/>
          <w:sz w:val="24"/>
          <w:szCs w:val="24"/>
        </w:rPr>
        <w:t>,</w:t>
      </w:r>
      <w:r w:rsidR="003A34D8" w:rsidRPr="00D613A6">
        <w:rPr>
          <w:color w:val="17365D"/>
          <w:sz w:val="24"/>
          <w:szCs w:val="24"/>
        </w:rPr>
        <w:t>5</w:t>
      </w:r>
      <w:r w:rsidR="00167A1A" w:rsidRPr="00D613A6">
        <w:rPr>
          <w:color w:val="17365D"/>
          <w:sz w:val="24"/>
          <w:szCs w:val="24"/>
        </w:rPr>
        <w:t xml:space="preserve"> milj.</w:t>
      </w:r>
      <w:r w:rsidR="007B722C" w:rsidRPr="00D613A6">
        <w:rPr>
          <w:color w:val="17365D"/>
          <w:sz w:val="24"/>
          <w:szCs w:val="24"/>
        </w:rPr>
        <w:t xml:space="preserve"> </w:t>
      </w:r>
      <w:r w:rsidR="00167A1A" w:rsidRPr="00D613A6">
        <w:rPr>
          <w:i/>
          <w:color w:val="17365D"/>
          <w:sz w:val="24"/>
          <w:szCs w:val="24"/>
        </w:rPr>
        <w:t>euro</w:t>
      </w:r>
      <w:r w:rsidR="00167A1A" w:rsidRPr="00D613A6">
        <w:rPr>
          <w:color w:val="17365D"/>
          <w:sz w:val="24"/>
          <w:szCs w:val="24"/>
        </w:rPr>
        <w:t xml:space="preserve">. </w:t>
      </w:r>
    </w:p>
    <w:p w14:paraId="03D149BC" w14:textId="15300469" w:rsidR="00026661" w:rsidRPr="00D613A6" w:rsidRDefault="00BA747A" w:rsidP="00B06E90">
      <w:pPr>
        <w:pStyle w:val="Pamatteksts1"/>
        <w:rPr>
          <w:noProof w:val="0"/>
          <w:color w:val="17365D"/>
        </w:rPr>
      </w:pPr>
      <w:r w:rsidRPr="00D613A6">
        <w:rPr>
          <w:noProof w:val="0"/>
          <w:color w:val="17365D"/>
        </w:rPr>
        <w:t>Likumā noteiktais aizdevumu kopēj</w:t>
      </w:r>
      <w:r w:rsidR="00576FA9" w:rsidRPr="00D613A6">
        <w:rPr>
          <w:noProof w:val="0"/>
          <w:color w:val="17365D"/>
        </w:rPr>
        <w:t>ais</w:t>
      </w:r>
      <w:r w:rsidRPr="00D613A6">
        <w:rPr>
          <w:noProof w:val="0"/>
          <w:color w:val="17365D"/>
        </w:rPr>
        <w:t xml:space="preserve"> palielinājums</w:t>
      </w:r>
      <w:r w:rsidR="003A0731">
        <w:rPr>
          <w:noProof w:val="0"/>
          <w:color w:val="17365D"/>
        </w:rPr>
        <w:t xml:space="preserve"> </w:t>
      </w:r>
      <w:r w:rsidR="00BB32BD" w:rsidRPr="00D613A6">
        <w:rPr>
          <w:noProof w:val="0"/>
          <w:color w:val="17365D"/>
        </w:rPr>
        <w:t>ir</w:t>
      </w:r>
      <w:r w:rsidRPr="00D613A6">
        <w:rPr>
          <w:color w:val="17365D"/>
        </w:rPr>
        <w:t xml:space="preserve"> </w:t>
      </w:r>
      <w:r w:rsidRPr="00D613A6">
        <w:rPr>
          <w:noProof w:val="0"/>
          <w:color w:val="17365D"/>
        </w:rPr>
        <w:t>1</w:t>
      </w:r>
      <w:r w:rsidR="00501BD4" w:rsidRPr="00D613A6">
        <w:rPr>
          <w:noProof w:val="0"/>
          <w:color w:val="17365D"/>
        </w:rPr>
        <w:t>35</w:t>
      </w:r>
      <w:r w:rsidR="002B68D2" w:rsidRPr="00D613A6">
        <w:rPr>
          <w:noProof w:val="0"/>
          <w:color w:val="17365D"/>
        </w:rPr>
        <w:t>,</w:t>
      </w:r>
      <w:r w:rsidR="00501BD4" w:rsidRPr="00D613A6">
        <w:rPr>
          <w:noProof w:val="0"/>
          <w:color w:val="17365D"/>
        </w:rPr>
        <w:t>7</w:t>
      </w:r>
      <w:r w:rsidR="00167A1A" w:rsidRPr="00D613A6">
        <w:rPr>
          <w:noProof w:val="0"/>
          <w:color w:val="17365D"/>
        </w:rPr>
        <w:t xml:space="preserve"> milj. </w:t>
      </w:r>
      <w:r w:rsidRPr="00D613A6">
        <w:rPr>
          <w:i/>
          <w:noProof w:val="0"/>
          <w:color w:val="17365D"/>
        </w:rPr>
        <w:t>euro</w:t>
      </w:r>
      <w:r w:rsidRPr="00D613A6">
        <w:rPr>
          <w:color w:val="17365D"/>
        </w:rPr>
        <w:t xml:space="preserve">. </w:t>
      </w:r>
      <w:r w:rsidRPr="00D613A6">
        <w:rPr>
          <w:noProof w:val="0"/>
          <w:color w:val="17365D"/>
        </w:rPr>
        <w:t xml:space="preserve">Valsts budžeta </w:t>
      </w:r>
      <w:r w:rsidR="002B68D2" w:rsidRPr="00D613A6">
        <w:rPr>
          <w:noProof w:val="0"/>
          <w:color w:val="17365D"/>
        </w:rPr>
        <w:t xml:space="preserve">izsniegtie </w:t>
      </w:r>
      <w:r w:rsidRPr="00D613A6">
        <w:rPr>
          <w:noProof w:val="0"/>
          <w:color w:val="17365D"/>
        </w:rPr>
        <w:t>aizdevum</w:t>
      </w:r>
      <w:r w:rsidR="002B68D2" w:rsidRPr="00D613A6">
        <w:rPr>
          <w:noProof w:val="0"/>
          <w:color w:val="17365D"/>
        </w:rPr>
        <w:t>i</w:t>
      </w:r>
      <w:r w:rsidR="00922074" w:rsidRPr="00D613A6">
        <w:rPr>
          <w:noProof w:val="0"/>
          <w:color w:val="17365D"/>
        </w:rPr>
        <w:t xml:space="preserve"> </w:t>
      </w:r>
      <w:r w:rsidR="00981F5E" w:rsidRPr="00D613A6">
        <w:rPr>
          <w:noProof w:val="0"/>
          <w:color w:val="17365D"/>
        </w:rPr>
        <w:t>un izsniegto aizdevumu saņemtā atmaksa</w:t>
      </w:r>
      <w:r w:rsidRPr="00D613A6">
        <w:rPr>
          <w:noProof w:val="0"/>
          <w:color w:val="17365D"/>
        </w:rPr>
        <w:t xml:space="preserve"> </w:t>
      </w:r>
      <w:r w:rsidR="00BB32BD" w:rsidRPr="00D613A6">
        <w:rPr>
          <w:noProof w:val="0"/>
          <w:color w:val="17365D"/>
        </w:rPr>
        <w:t xml:space="preserve">(neto vērtība) </w:t>
      </w:r>
      <w:r w:rsidRPr="00D613A6">
        <w:rPr>
          <w:noProof w:val="0"/>
          <w:color w:val="17365D"/>
        </w:rPr>
        <w:t>2</w:t>
      </w:r>
      <w:r w:rsidR="00501BD4" w:rsidRPr="00D613A6">
        <w:rPr>
          <w:noProof w:val="0"/>
          <w:color w:val="17365D"/>
        </w:rPr>
        <w:t>024</w:t>
      </w:r>
      <w:r w:rsidRPr="00D613A6">
        <w:rPr>
          <w:noProof w:val="0"/>
          <w:color w:val="17365D"/>
        </w:rPr>
        <w:t>.</w:t>
      </w:r>
      <w:r w:rsidR="002B68D2" w:rsidRPr="00D613A6">
        <w:rPr>
          <w:noProof w:val="0"/>
          <w:color w:val="17365D"/>
        </w:rPr>
        <w:t> </w:t>
      </w:r>
      <w:r w:rsidRPr="00D613A6">
        <w:rPr>
          <w:noProof w:val="0"/>
          <w:color w:val="17365D"/>
        </w:rPr>
        <w:t xml:space="preserve">gadā ir </w:t>
      </w:r>
      <w:r w:rsidR="00A128EC" w:rsidRPr="00D613A6">
        <w:rPr>
          <w:noProof w:val="0"/>
          <w:color w:val="17365D"/>
        </w:rPr>
        <w:t>38</w:t>
      </w:r>
      <w:r w:rsidR="00167A1A" w:rsidRPr="00D613A6">
        <w:rPr>
          <w:noProof w:val="0"/>
          <w:color w:val="17365D"/>
        </w:rPr>
        <w:t>,</w:t>
      </w:r>
      <w:r w:rsidR="00A128EC" w:rsidRPr="00D613A6">
        <w:rPr>
          <w:noProof w:val="0"/>
          <w:color w:val="17365D"/>
        </w:rPr>
        <w:t>8</w:t>
      </w:r>
      <w:r w:rsidR="00167A1A" w:rsidRPr="00D613A6">
        <w:rPr>
          <w:noProof w:val="0"/>
          <w:color w:val="17365D"/>
        </w:rPr>
        <w:t xml:space="preserve"> milj. </w:t>
      </w:r>
      <w:r w:rsidRPr="00D613A6">
        <w:rPr>
          <w:i/>
          <w:noProof w:val="0"/>
          <w:color w:val="17365D"/>
        </w:rPr>
        <w:t>euro</w:t>
      </w:r>
      <w:r w:rsidR="002F746C" w:rsidRPr="00D613A6">
        <w:rPr>
          <w:i/>
          <w:noProof w:val="0"/>
          <w:color w:val="17365D"/>
        </w:rPr>
        <w:t>,</w:t>
      </w:r>
      <w:r w:rsidRPr="00D613A6">
        <w:rPr>
          <w:noProof w:val="0"/>
          <w:color w:val="17365D"/>
        </w:rPr>
        <w:t xml:space="preserve"> </w:t>
      </w:r>
      <w:r w:rsidR="00501BD4" w:rsidRPr="00D613A6">
        <w:rPr>
          <w:noProof w:val="0"/>
          <w:color w:val="17365D"/>
        </w:rPr>
        <w:t>kas salīdzinājumā ar 2023</w:t>
      </w:r>
      <w:r w:rsidR="002F746C" w:rsidRPr="00D613A6">
        <w:rPr>
          <w:noProof w:val="0"/>
          <w:color w:val="17365D"/>
        </w:rPr>
        <w:t xml:space="preserve">. gadu </w:t>
      </w:r>
      <w:r w:rsidR="008449EC" w:rsidRPr="00D613A6">
        <w:rPr>
          <w:noProof w:val="0"/>
          <w:color w:val="17365D"/>
        </w:rPr>
        <w:t xml:space="preserve">palielinājās </w:t>
      </w:r>
      <w:r w:rsidR="002F746C" w:rsidRPr="00D613A6">
        <w:rPr>
          <w:noProof w:val="0"/>
          <w:color w:val="17365D"/>
        </w:rPr>
        <w:t xml:space="preserve">par </w:t>
      </w:r>
      <w:r w:rsidR="004530C7" w:rsidRPr="00D613A6">
        <w:rPr>
          <w:noProof w:val="0"/>
          <w:color w:val="17365D"/>
        </w:rPr>
        <w:t>91</w:t>
      </w:r>
      <w:r w:rsidR="00A128EC" w:rsidRPr="00D613A6">
        <w:rPr>
          <w:noProof w:val="0"/>
          <w:color w:val="17365D"/>
        </w:rPr>
        <w:t>,</w:t>
      </w:r>
      <w:r w:rsidR="004530C7" w:rsidRPr="00D613A6">
        <w:rPr>
          <w:noProof w:val="0"/>
          <w:color w:val="17365D"/>
        </w:rPr>
        <w:t>4</w:t>
      </w:r>
      <w:r w:rsidR="002F746C" w:rsidRPr="00D613A6">
        <w:rPr>
          <w:noProof w:val="0"/>
          <w:color w:val="17365D"/>
        </w:rPr>
        <w:t xml:space="preserve"> </w:t>
      </w:r>
      <w:r w:rsidR="00167A1A" w:rsidRPr="00D613A6">
        <w:rPr>
          <w:noProof w:val="0"/>
          <w:color w:val="17365D"/>
        </w:rPr>
        <w:t xml:space="preserve">milj. </w:t>
      </w:r>
      <w:r w:rsidR="002F746C" w:rsidRPr="00D613A6">
        <w:rPr>
          <w:i/>
          <w:noProof w:val="0"/>
          <w:color w:val="17365D"/>
        </w:rPr>
        <w:t xml:space="preserve">euro </w:t>
      </w:r>
      <w:r w:rsidR="00DF7FBB" w:rsidRPr="00D613A6">
        <w:rPr>
          <w:noProof w:val="0"/>
          <w:color w:val="17365D"/>
        </w:rPr>
        <w:t xml:space="preserve">jeb </w:t>
      </w:r>
      <w:r w:rsidR="004530C7" w:rsidRPr="00D613A6">
        <w:rPr>
          <w:noProof w:val="0"/>
          <w:color w:val="17365D"/>
        </w:rPr>
        <w:t>173</w:t>
      </w:r>
      <w:r w:rsidR="00DF7FBB" w:rsidRPr="00D613A6">
        <w:rPr>
          <w:noProof w:val="0"/>
          <w:color w:val="17365D"/>
        </w:rPr>
        <w:t>,</w:t>
      </w:r>
      <w:r w:rsidR="004530C7" w:rsidRPr="00D613A6">
        <w:rPr>
          <w:noProof w:val="0"/>
          <w:color w:val="17365D"/>
        </w:rPr>
        <w:t>78 </w:t>
      </w:r>
      <w:r w:rsidR="002F746C" w:rsidRPr="00D613A6">
        <w:rPr>
          <w:noProof w:val="0"/>
          <w:color w:val="17365D"/>
        </w:rPr>
        <w:t>%. Izpilde pret Likumā noteikto gada plānu ir</w:t>
      </w:r>
      <w:r w:rsidRPr="00D613A6">
        <w:rPr>
          <w:noProof w:val="0"/>
          <w:color w:val="17365D"/>
        </w:rPr>
        <w:t xml:space="preserve"> </w:t>
      </w:r>
      <w:r w:rsidR="000D3CDD" w:rsidRPr="00D613A6">
        <w:rPr>
          <w:noProof w:val="0"/>
          <w:color w:val="17365D"/>
        </w:rPr>
        <w:t>28</w:t>
      </w:r>
      <w:r w:rsidR="002B68D2" w:rsidRPr="00D613A6">
        <w:rPr>
          <w:noProof w:val="0"/>
          <w:color w:val="17365D"/>
        </w:rPr>
        <w:t>,</w:t>
      </w:r>
      <w:r w:rsidR="000D3CDD" w:rsidRPr="00D613A6">
        <w:rPr>
          <w:noProof w:val="0"/>
          <w:color w:val="17365D"/>
        </w:rPr>
        <w:t>75</w:t>
      </w:r>
      <w:r w:rsidR="002B68D2" w:rsidRPr="00D613A6">
        <w:rPr>
          <w:noProof w:val="0"/>
          <w:color w:val="17365D"/>
        </w:rPr>
        <w:t> </w:t>
      </w:r>
      <w:r w:rsidRPr="00D613A6">
        <w:rPr>
          <w:noProof w:val="0"/>
          <w:color w:val="17365D"/>
        </w:rPr>
        <w:t xml:space="preserve">%. </w:t>
      </w:r>
      <w:r w:rsidR="002F746C" w:rsidRPr="00D613A6">
        <w:rPr>
          <w:noProof w:val="0"/>
          <w:color w:val="17365D"/>
        </w:rPr>
        <w:t>Valsts budžeta izsniegto</w:t>
      </w:r>
      <w:r w:rsidRPr="00D613A6">
        <w:rPr>
          <w:noProof w:val="0"/>
          <w:color w:val="17365D"/>
        </w:rPr>
        <w:t xml:space="preserve"> aizdevumu izpilde </w:t>
      </w:r>
      <w:r w:rsidR="00487CE8" w:rsidRPr="00D613A6">
        <w:rPr>
          <w:noProof w:val="0"/>
          <w:color w:val="17365D"/>
        </w:rPr>
        <w:t>53</w:t>
      </w:r>
      <w:r w:rsidR="00167A1A" w:rsidRPr="00D613A6">
        <w:rPr>
          <w:noProof w:val="0"/>
          <w:color w:val="17365D"/>
        </w:rPr>
        <w:t>,</w:t>
      </w:r>
      <w:r w:rsidR="00487CE8" w:rsidRPr="00D613A6">
        <w:rPr>
          <w:noProof w:val="0"/>
          <w:color w:val="17365D"/>
        </w:rPr>
        <w:t>2</w:t>
      </w:r>
      <w:r w:rsidRPr="00D613A6">
        <w:rPr>
          <w:noProof w:val="0"/>
          <w:color w:val="17365D"/>
        </w:rPr>
        <w:t xml:space="preserve"> </w:t>
      </w:r>
      <w:r w:rsidR="00167A1A" w:rsidRPr="00D613A6">
        <w:rPr>
          <w:noProof w:val="0"/>
          <w:color w:val="17365D"/>
        </w:rPr>
        <w:t xml:space="preserve">milj. </w:t>
      </w:r>
      <w:r w:rsidRPr="00D613A6">
        <w:rPr>
          <w:i/>
          <w:noProof w:val="0"/>
          <w:color w:val="17365D"/>
        </w:rPr>
        <w:t>euro</w:t>
      </w:r>
      <w:r w:rsidRPr="00D613A6">
        <w:rPr>
          <w:noProof w:val="0"/>
          <w:color w:val="17365D"/>
        </w:rPr>
        <w:t xml:space="preserve"> vērtībā</w:t>
      </w:r>
      <w:r w:rsidR="002F746C" w:rsidRPr="00D613A6">
        <w:rPr>
          <w:noProof w:val="0"/>
          <w:color w:val="17365D"/>
        </w:rPr>
        <w:t xml:space="preserve">, kas attiecībā pret Likumā noteikto gada plānu ir </w:t>
      </w:r>
      <w:r w:rsidR="00487CE8" w:rsidRPr="00D613A6">
        <w:rPr>
          <w:noProof w:val="0"/>
          <w:color w:val="17365D"/>
        </w:rPr>
        <w:t>32</w:t>
      </w:r>
      <w:r w:rsidR="002B68D2" w:rsidRPr="00D613A6">
        <w:rPr>
          <w:noProof w:val="0"/>
          <w:color w:val="17365D"/>
        </w:rPr>
        <w:t>,</w:t>
      </w:r>
      <w:r w:rsidRPr="00D613A6">
        <w:rPr>
          <w:noProof w:val="0"/>
          <w:color w:val="17365D"/>
        </w:rPr>
        <w:t>5</w:t>
      </w:r>
      <w:r w:rsidR="004530C7" w:rsidRPr="00D613A6">
        <w:rPr>
          <w:noProof w:val="0"/>
          <w:color w:val="17365D"/>
        </w:rPr>
        <w:t>4</w:t>
      </w:r>
      <w:r w:rsidR="002B68D2" w:rsidRPr="00D613A6">
        <w:rPr>
          <w:noProof w:val="0"/>
          <w:color w:val="17365D"/>
        </w:rPr>
        <w:t> </w:t>
      </w:r>
      <w:r w:rsidRPr="00D613A6">
        <w:rPr>
          <w:noProof w:val="0"/>
          <w:color w:val="17365D"/>
        </w:rPr>
        <w:t xml:space="preserve">%, bet </w:t>
      </w:r>
      <w:r w:rsidR="002F746C" w:rsidRPr="00D613A6">
        <w:rPr>
          <w:noProof w:val="0"/>
          <w:color w:val="17365D"/>
        </w:rPr>
        <w:t xml:space="preserve">valsts budžeta izsniegto aizdevumu </w:t>
      </w:r>
      <w:r w:rsidRPr="00D613A6">
        <w:rPr>
          <w:noProof w:val="0"/>
          <w:color w:val="17365D"/>
        </w:rPr>
        <w:t xml:space="preserve">saņemtās atmaksas </w:t>
      </w:r>
      <w:r w:rsidR="002B68D2" w:rsidRPr="00D613A6">
        <w:rPr>
          <w:noProof w:val="0"/>
          <w:color w:val="17365D"/>
        </w:rPr>
        <w:t xml:space="preserve">pārskata gadā ir </w:t>
      </w:r>
      <w:r w:rsidR="00A128EC" w:rsidRPr="00D613A6">
        <w:rPr>
          <w:noProof w:val="0"/>
          <w:color w:val="17365D"/>
        </w:rPr>
        <w:t>92</w:t>
      </w:r>
      <w:r w:rsidR="00487CE8" w:rsidRPr="00D613A6">
        <w:rPr>
          <w:noProof w:val="0"/>
          <w:color w:val="17365D"/>
        </w:rPr>
        <w:t>,</w:t>
      </w:r>
      <w:r w:rsidR="00A128EC" w:rsidRPr="00D613A6">
        <w:rPr>
          <w:noProof w:val="0"/>
          <w:color w:val="17365D"/>
        </w:rPr>
        <w:t>0</w:t>
      </w:r>
      <w:r w:rsidR="00167A1A" w:rsidRPr="00D613A6">
        <w:rPr>
          <w:noProof w:val="0"/>
          <w:color w:val="17365D"/>
        </w:rPr>
        <w:t> milj.</w:t>
      </w:r>
      <w:r w:rsidRPr="00D613A6">
        <w:rPr>
          <w:noProof w:val="0"/>
          <w:color w:val="17365D"/>
        </w:rPr>
        <w:t xml:space="preserve"> </w:t>
      </w:r>
      <w:r w:rsidRPr="00D613A6">
        <w:rPr>
          <w:i/>
          <w:noProof w:val="0"/>
          <w:color w:val="17365D"/>
        </w:rPr>
        <w:t>euro</w:t>
      </w:r>
      <w:r w:rsidRPr="00D613A6">
        <w:rPr>
          <w:noProof w:val="0"/>
          <w:color w:val="17365D"/>
        </w:rPr>
        <w:t xml:space="preserve"> vērtībā</w:t>
      </w:r>
      <w:r w:rsidR="005135E7" w:rsidRPr="00D613A6">
        <w:rPr>
          <w:noProof w:val="0"/>
          <w:color w:val="17365D"/>
        </w:rPr>
        <w:t>,</w:t>
      </w:r>
      <w:r w:rsidRPr="00D613A6">
        <w:rPr>
          <w:noProof w:val="0"/>
          <w:color w:val="17365D"/>
        </w:rPr>
        <w:t xml:space="preserve"> </w:t>
      </w:r>
      <w:r w:rsidR="005135E7" w:rsidRPr="00D613A6">
        <w:rPr>
          <w:noProof w:val="0"/>
          <w:color w:val="17365D"/>
        </w:rPr>
        <w:t xml:space="preserve">kas attiecībā pret Likumā noteikto gada plānu ir </w:t>
      </w:r>
      <w:r w:rsidR="00A128EC" w:rsidRPr="00D613A6">
        <w:rPr>
          <w:noProof w:val="0"/>
          <w:color w:val="17365D"/>
        </w:rPr>
        <w:t>323</w:t>
      </w:r>
      <w:r w:rsidR="002B68D2" w:rsidRPr="00D613A6">
        <w:rPr>
          <w:noProof w:val="0"/>
          <w:color w:val="17365D"/>
        </w:rPr>
        <w:t>,</w:t>
      </w:r>
      <w:r w:rsidR="004530C7" w:rsidRPr="00D613A6">
        <w:rPr>
          <w:noProof w:val="0"/>
          <w:color w:val="17365D"/>
        </w:rPr>
        <w:t xml:space="preserve">77 </w:t>
      </w:r>
      <w:r w:rsidRPr="00D613A6">
        <w:rPr>
          <w:noProof w:val="0"/>
          <w:color w:val="17365D"/>
        </w:rPr>
        <w:t>%.</w:t>
      </w:r>
    </w:p>
    <w:p w14:paraId="0D13383E" w14:textId="05048084" w:rsidR="00565876" w:rsidRPr="00D613A6" w:rsidRDefault="00565876" w:rsidP="000659AE">
      <w:pPr>
        <w:pStyle w:val="Heading1"/>
        <w:rPr>
          <w:rFonts w:cs="Times New Roman"/>
          <w:b w:val="0"/>
          <w:bCs w:val="0"/>
          <w:noProof w:val="0"/>
          <w:color w:val="17365D"/>
        </w:rPr>
      </w:pPr>
      <w:r w:rsidRPr="00D613A6">
        <w:rPr>
          <w:rFonts w:cs="Times New Roman"/>
          <w:color w:val="17365D"/>
        </w:rPr>
        <w:lastRenderedPageBreak/>
        <w:t>Konsolidētā valsts budžeta i</w:t>
      </w:r>
      <w:r w:rsidR="00A01665" w:rsidRPr="00D613A6">
        <w:rPr>
          <w:rFonts w:cs="Times New Roman"/>
          <w:color w:val="17365D"/>
        </w:rPr>
        <w:t>eņēmumi</w:t>
      </w:r>
    </w:p>
    <w:p w14:paraId="26C94C25" w14:textId="7029357F" w:rsidR="00DB1F83" w:rsidRPr="00D613A6" w:rsidRDefault="00791BEC" w:rsidP="00DC3A74">
      <w:pPr>
        <w:pStyle w:val="Pamatteksts1"/>
        <w:rPr>
          <w:b/>
          <w:noProof w:val="0"/>
          <w:color w:val="17365D"/>
          <w:lang w:eastAsia="en-US"/>
        </w:rPr>
      </w:pPr>
      <w:r w:rsidRPr="00D613A6">
        <w:rPr>
          <w:b/>
          <w:color w:val="17365D"/>
        </w:rPr>
        <mc:AlternateContent>
          <mc:Choice Requires="wps">
            <w:drawing>
              <wp:anchor distT="0" distB="0" distL="114300" distR="114300" simplePos="0" relativeHeight="251665920" behindDoc="1" locked="0" layoutInCell="1" allowOverlap="1" wp14:anchorId="2AF1621B" wp14:editId="292082BB">
                <wp:simplePos x="0" y="0"/>
                <wp:positionH relativeFrom="column">
                  <wp:posOffset>4264754</wp:posOffset>
                </wp:positionH>
                <wp:positionV relativeFrom="paragraph">
                  <wp:posOffset>11430</wp:posOffset>
                </wp:positionV>
                <wp:extent cx="1680845" cy="1148080"/>
                <wp:effectExtent l="0" t="0" r="14605" b="13970"/>
                <wp:wrapTight wrapText="bothSides">
                  <wp:wrapPolygon edited="0">
                    <wp:start x="0" y="0"/>
                    <wp:lineTo x="0" y="21504"/>
                    <wp:lineTo x="21543" y="21504"/>
                    <wp:lineTo x="21543" y="0"/>
                    <wp:lineTo x="0" y="0"/>
                  </wp:wrapPolygon>
                </wp:wrapTight>
                <wp:docPr id="29" name="Rectangle 29"/>
                <wp:cNvGraphicFramePr/>
                <a:graphic xmlns:a="http://schemas.openxmlformats.org/drawingml/2006/main">
                  <a:graphicData uri="http://schemas.microsoft.com/office/word/2010/wordprocessingShape">
                    <wps:wsp>
                      <wps:cNvSpPr/>
                      <wps:spPr>
                        <a:xfrm>
                          <a:off x="0" y="0"/>
                          <a:ext cx="1680845" cy="1148080"/>
                        </a:xfrm>
                        <a:prstGeom prst="rect">
                          <a:avLst/>
                        </a:prstGeom>
                        <a:solidFill>
                          <a:sysClr val="window" lastClr="FFFFFF"/>
                        </a:solidFill>
                        <a:ln w="25400" cap="flat" cmpd="sng" algn="ctr">
                          <a:solidFill>
                            <a:srgbClr val="17365D"/>
                          </a:solidFill>
                          <a:prstDash val="sysDot"/>
                        </a:ln>
                        <a:effectLst/>
                      </wps:spPr>
                      <wps:txbx>
                        <w:txbxContent>
                          <w:p w14:paraId="6BC20AF5" w14:textId="77777777" w:rsidR="000A5BFC" w:rsidRPr="00B01BE2" w:rsidRDefault="000A5BFC" w:rsidP="004B1D14">
                            <w:pPr>
                              <w:ind w:firstLine="0"/>
                              <w:jc w:val="center"/>
                              <w:rPr>
                                <w:color w:val="17365D"/>
                              </w:rPr>
                            </w:pPr>
                            <w:r w:rsidRPr="00B01BE2">
                              <w:rPr>
                                <w:color w:val="17365D"/>
                              </w:rPr>
                              <w:t>Pievienotās vērtības nodokļa ieņēmumi –</w:t>
                            </w:r>
                          </w:p>
                          <w:p w14:paraId="0E2B401C" w14:textId="4C463F87" w:rsidR="000A5BFC" w:rsidRPr="00B01BE2" w:rsidRDefault="000A5BFC" w:rsidP="002A7B83">
                            <w:pPr>
                              <w:ind w:firstLine="0"/>
                              <w:jc w:val="center"/>
                              <w:rPr>
                                <w:b/>
                                <w:color w:val="17365D"/>
                              </w:rPr>
                            </w:pPr>
                            <w:r w:rsidRPr="00B01BE2">
                              <w:rPr>
                                <w:b/>
                                <w:color w:val="17365D"/>
                              </w:rPr>
                              <w:t xml:space="preserve">3 882 362 027 </w:t>
                            </w:r>
                            <w:r w:rsidRPr="00B01BE2">
                              <w:rPr>
                                <w:i/>
                                <w:color w:val="17365D"/>
                              </w:rPr>
                              <w:t>euro</w:t>
                            </w:r>
                          </w:p>
                          <w:p w14:paraId="62CC0D27" w14:textId="5DC2D942" w:rsidR="000A5BFC" w:rsidRPr="00AC4394" w:rsidRDefault="000A5BFC" w:rsidP="004B1D14">
                            <w:pPr>
                              <w:ind w:firstLine="0"/>
                              <w:jc w:val="center"/>
                              <w:rPr>
                                <w:color w:val="17365D"/>
                              </w:rPr>
                            </w:pPr>
                            <w:r w:rsidRPr="00B01BE2">
                              <w:rPr>
                                <w:color w:val="17365D"/>
                              </w:rPr>
                              <w:t>3</w:t>
                            </w:r>
                            <w:r>
                              <w:rPr>
                                <w:color w:val="17365D"/>
                              </w:rPr>
                              <w:t>8</w:t>
                            </w:r>
                            <w:r w:rsidRPr="00B01BE2">
                              <w:rPr>
                                <w:color w:val="17365D"/>
                              </w:rPr>
                              <w:t>,7</w:t>
                            </w:r>
                            <w:r>
                              <w:rPr>
                                <w:color w:val="17365D"/>
                              </w:rPr>
                              <w:t>0</w:t>
                            </w:r>
                            <w:r w:rsidRPr="00B01BE2">
                              <w:rPr>
                                <w:color w:val="17365D"/>
                              </w:rPr>
                              <w:t> % no ieņēmumiem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1621B" id="Rectangle 29" o:spid="_x0000_s1028" style="position:absolute;left:0;text-align:left;margin-left:335.8pt;margin-top:.9pt;width:132.35pt;height:90.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" fillcolor="window" strokecolor="#17365d" strokeweight="2pt">
                <v:stroke dashstyle="1 1"/>
                <v:textbox>
                  <w:txbxContent>
                    <w:p w14:paraId="6BC20AF5" w14:textId="77777777" w:rsidR="000A5BFC" w:rsidRPr="00B01BE2" w:rsidRDefault="000A5BFC" w:rsidP="004B1D14">
                      <w:pPr>
                        <w:ind w:firstLine="0"/>
                        <w:jc w:val="center"/>
                        <w:rPr>
                          <w:color w:val="17365D"/>
                        </w:rPr>
                      </w:pPr>
                      <w:r w:rsidRPr="00B01BE2">
                        <w:rPr>
                          <w:color w:val="17365D"/>
                        </w:rPr>
                        <w:t>Pievienotās vērtības nodokļa ieņēmumi –</w:t>
                      </w:r>
                    </w:p>
                    <w:p w14:paraId="0E2B401C" w14:textId="4C463F87" w:rsidR="000A5BFC" w:rsidRPr="00B01BE2" w:rsidRDefault="000A5BFC" w:rsidP="002A7B83">
                      <w:pPr>
                        <w:ind w:firstLine="0"/>
                        <w:jc w:val="center"/>
                        <w:rPr>
                          <w:b/>
                          <w:color w:val="17365D"/>
                        </w:rPr>
                      </w:pPr>
                      <w:r w:rsidRPr="00B01BE2">
                        <w:rPr>
                          <w:b/>
                          <w:color w:val="17365D"/>
                        </w:rPr>
                        <w:t xml:space="preserve">3 882 362 027 </w:t>
                      </w:r>
                      <w:r w:rsidRPr="00B01BE2">
                        <w:rPr>
                          <w:i/>
                          <w:color w:val="17365D"/>
                        </w:rPr>
                        <w:t>euro</w:t>
                      </w:r>
                    </w:p>
                    <w:p w14:paraId="62CC0D27" w14:textId="5DC2D942" w:rsidR="000A5BFC" w:rsidRPr="00AC4394" w:rsidRDefault="000A5BFC" w:rsidP="004B1D14">
                      <w:pPr>
                        <w:ind w:firstLine="0"/>
                        <w:jc w:val="center"/>
                        <w:rPr>
                          <w:color w:val="17365D"/>
                        </w:rPr>
                      </w:pPr>
                      <w:r w:rsidRPr="00B01BE2">
                        <w:rPr>
                          <w:color w:val="17365D"/>
                        </w:rPr>
                        <w:t>3</w:t>
                      </w:r>
                      <w:r>
                        <w:rPr>
                          <w:color w:val="17365D"/>
                        </w:rPr>
                        <w:t>8</w:t>
                      </w:r>
                      <w:r w:rsidRPr="00B01BE2">
                        <w:rPr>
                          <w:color w:val="17365D"/>
                        </w:rPr>
                        <w:t>,7</w:t>
                      </w:r>
                      <w:r>
                        <w:rPr>
                          <w:color w:val="17365D"/>
                        </w:rPr>
                        <w:t>0</w:t>
                      </w:r>
                      <w:r w:rsidRPr="00B01BE2">
                        <w:rPr>
                          <w:color w:val="17365D"/>
                        </w:rPr>
                        <w:t> % no ieņēmumiem</w:t>
                      </w:r>
                    </w:p>
                  </w:txbxContent>
                </v:textbox>
                <w10:wrap type="tight"/>
              </v:rect>
            </w:pict>
          </mc:Fallback>
        </mc:AlternateContent>
      </w:r>
      <w:r w:rsidR="0099580E" w:rsidRPr="00D613A6">
        <w:rPr>
          <w:bCs/>
          <w:noProof w:val="0"/>
          <w:color w:val="17365D"/>
        </w:rPr>
        <w:t xml:space="preserve">Valsts pamatbudžeta </w:t>
      </w:r>
      <w:r w:rsidR="0099580E" w:rsidRPr="00D613A6">
        <w:rPr>
          <w:bCs/>
          <w:noProof w:val="0"/>
          <w:color w:val="17365D"/>
          <w:u w:val="single"/>
        </w:rPr>
        <w:t>ieņēmumos</w:t>
      </w:r>
      <w:r w:rsidR="0099580E" w:rsidRPr="00D613A6">
        <w:rPr>
          <w:noProof w:val="0"/>
          <w:color w:val="17365D"/>
        </w:rPr>
        <w:t xml:space="preserve"> </w:t>
      </w:r>
      <w:r w:rsidR="008F2503" w:rsidRPr="00D613A6">
        <w:rPr>
          <w:noProof w:val="0"/>
          <w:color w:val="17365D"/>
        </w:rPr>
        <w:t>20</w:t>
      </w:r>
      <w:r w:rsidR="002B0F23" w:rsidRPr="00D613A6">
        <w:rPr>
          <w:noProof w:val="0"/>
          <w:color w:val="17365D"/>
        </w:rPr>
        <w:t>2</w:t>
      </w:r>
      <w:r w:rsidR="000F3747" w:rsidRPr="00D613A6">
        <w:rPr>
          <w:noProof w:val="0"/>
          <w:color w:val="17365D"/>
        </w:rPr>
        <w:t>4</w:t>
      </w:r>
      <w:r w:rsidR="008F2503" w:rsidRPr="00D613A6">
        <w:rPr>
          <w:noProof w:val="0"/>
          <w:color w:val="17365D"/>
        </w:rPr>
        <w:t>. gad</w:t>
      </w:r>
      <w:r w:rsidR="0099580E" w:rsidRPr="00D613A6">
        <w:rPr>
          <w:noProof w:val="0"/>
          <w:color w:val="17365D"/>
        </w:rPr>
        <w:t xml:space="preserve">ā lielāko daļu veido </w:t>
      </w:r>
      <w:r w:rsidR="0099580E" w:rsidRPr="00D613A6">
        <w:rPr>
          <w:b/>
          <w:iCs/>
          <w:noProof w:val="0"/>
          <w:color w:val="17365D"/>
        </w:rPr>
        <w:t>nodokļu ieņēmumi</w:t>
      </w:r>
      <w:r w:rsidR="0099580E" w:rsidRPr="00D613A6">
        <w:rPr>
          <w:i/>
          <w:iCs/>
          <w:noProof w:val="0"/>
          <w:color w:val="17365D"/>
        </w:rPr>
        <w:t xml:space="preserve"> </w:t>
      </w:r>
      <w:r w:rsidR="00B865AD" w:rsidRPr="00D613A6">
        <w:rPr>
          <w:i/>
          <w:iCs/>
          <w:noProof w:val="0"/>
          <w:color w:val="17365D"/>
        </w:rPr>
        <w:t>–</w:t>
      </w:r>
      <w:r w:rsidR="006A7956" w:rsidRPr="00D613A6">
        <w:rPr>
          <w:i/>
          <w:iCs/>
          <w:noProof w:val="0"/>
          <w:color w:val="17365D"/>
        </w:rPr>
        <w:t xml:space="preserve"> </w:t>
      </w:r>
      <w:r w:rsidR="00FB0B69" w:rsidRPr="00D613A6">
        <w:rPr>
          <w:noProof w:val="0"/>
          <w:color w:val="17365D"/>
        </w:rPr>
        <w:t>6</w:t>
      </w:r>
      <w:r w:rsidR="0099580E" w:rsidRPr="00D613A6">
        <w:rPr>
          <w:noProof w:val="0"/>
          <w:color w:val="17365D"/>
        </w:rPr>
        <w:t> </w:t>
      </w:r>
      <w:r w:rsidR="000F3747" w:rsidRPr="00D613A6">
        <w:rPr>
          <w:noProof w:val="0"/>
          <w:color w:val="17365D"/>
        </w:rPr>
        <w:t>974</w:t>
      </w:r>
      <w:r w:rsidR="0099580E" w:rsidRPr="00D613A6">
        <w:rPr>
          <w:noProof w:val="0"/>
          <w:color w:val="17365D"/>
        </w:rPr>
        <w:t>,</w:t>
      </w:r>
      <w:r w:rsidR="005B5EEF" w:rsidRPr="00D613A6">
        <w:rPr>
          <w:noProof w:val="0"/>
          <w:color w:val="17365D"/>
        </w:rPr>
        <w:t>8</w:t>
      </w:r>
      <w:r w:rsidR="0099580E" w:rsidRPr="00D613A6">
        <w:rPr>
          <w:noProof w:val="0"/>
          <w:color w:val="17365D"/>
        </w:rPr>
        <w:t> 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3703B2" w:rsidRPr="00D613A6">
        <w:rPr>
          <w:noProof w:val="0"/>
          <w:color w:val="17365D"/>
        </w:rPr>
        <w:t xml:space="preserve"> </w:t>
      </w:r>
      <w:r w:rsidR="00A976C0" w:rsidRPr="00D613A6">
        <w:rPr>
          <w:noProof w:val="0"/>
          <w:color w:val="17365D"/>
        </w:rPr>
        <w:t xml:space="preserve">vērtībā </w:t>
      </w:r>
      <w:r w:rsidR="0099580E" w:rsidRPr="00D613A6">
        <w:rPr>
          <w:noProof w:val="0"/>
          <w:color w:val="17365D"/>
        </w:rPr>
        <w:t xml:space="preserve">jeb </w:t>
      </w:r>
      <w:r w:rsidR="005B5EEF" w:rsidRPr="00D613A6">
        <w:rPr>
          <w:noProof w:val="0"/>
          <w:color w:val="17365D"/>
        </w:rPr>
        <w:t>69</w:t>
      </w:r>
      <w:r w:rsidR="0099580E" w:rsidRPr="00D613A6">
        <w:rPr>
          <w:noProof w:val="0"/>
          <w:color w:val="17365D"/>
        </w:rPr>
        <w:t>,</w:t>
      </w:r>
      <w:r w:rsidR="009507AF" w:rsidRPr="00D613A6">
        <w:rPr>
          <w:noProof w:val="0"/>
          <w:color w:val="17365D"/>
        </w:rPr>
        <w:t>53</w:t>
      </w:r>
      <w:r w:rsidR="006A7956" w:rsidRPr="00D613A6">
        <w:rPr>
          <w:noProof w:val="0"/>
          <w:color w:val="17365D"/>
        </w:rPr>
        <w:t> %</w:t>
      </w:r>
      <w:r w:rsidR="0099580E" w:rsidRPr="00D613A6">
        <w:rPr>
          <w:noProof w:val="0"/>
          <w:color w:val="17365D"/>
        </w:rPr>
        <w:t xml:space="preserve"> no ko</w:t>
      </w:r>
      <w:r w:rsidR="003C3051" w:rsidRPr="00D613A6">
        <w:rPr>
          <w:noProof w:val="0"/>
          <w:color w:val="17365D"/>
        </w:rPr>
        <w:t>pējās ieņēmumu summas.</w:t>
      </w:r>
      <w:r w:rsidR="004B7A9C" w:rsidRPr="00D613A6">
        <w:rPr>
          <w:noProof w:val="0"/>
          <w:color w:val="17365D"/>
        </w:rPr>
        <w:t xml:space="preserve"> Detalizēta informācija par va</w:t>
      </w:r>
      <w:r w:rsidR="000700B1" w:rsidRPr="00D613A6">
        <w:rPr>
          <w:noProof w:val="0"/>
          <w:color w:val="17365D"/>
        </w:rPr>
        <w:t xml:space="preserve">lsts budžeta ieņēmumiem skatāma </w:t>
      </w:r>
      <w:r w:rsidR="004B7A9C" w:rsidRPr="00D613A6">
        <w:rPr>
          <w:noProof w:val="0"/>
          <w:color w:val="17365D"/>
        </w:rPr>
        <w:t>20</w:t>
      </w:r>
      <w:r w:rsidR="002A7B83" w:rsidRPr="00D613A6">
        <w:rPr>
          <w:noProof w:val="0"/>
          <w:color w:val="17365D"/>
        </w:rPr>
        <w:t>2</w:t>
      </w:r>
      <w:r w:rsidR="005B5EEF" w:rsidRPr="00D613A6">
        <w:rPr>
          <w:noProof w:val="0"/>
          <w:color w:val="17365D"/>
        </w:rPr>
        <w:t>4</w:t>
      </w:r>
      <w:r w:rsidR="004B7A9C" w:rsidRPr="00D613A6">
        <w:rPr>
          <w:noProof w:val="0"/>
          <w:color w:val="17365D"/>
        </w:rPr>
        <w:t xml:space="preserve">. gada pārskata </w:t>
      </w:r>
      <w:r w:rsidR="000321C6" w:rsidRPr="00D613A6">
        <w:rPr>
          <w:noProof w:val="0"/>
          <w:color w:val="17365D"/>
        </w:rPr>
        <w:t>8. tabula</w:t>
      </w:r>
      <w:r w:rsidR="004B7A9C" w:rsidRPr="00D613A6">
        <w:rPr>
          <w:noProof w:val="0"/>
          <w:color w:val="17365D"/>
        </w:rPr>
        <w:t xml:space="preserve"> </w:t>
      </w:r>
      <w:r w:rsidR="00677F96" w:rsidRPr="00D613A6">
        <w:rPr>
          <w:noProof w:val="0"/>
          <w:color w:val="17365D"/>
        </w:rPr>
        <w:t>“</w:t>
      </w:r>
      <w:r w:rsidR="00250F01" w:rsidRPr="00D613A6">
        <w:rPr>
          <w:noProof w:val="0"/>
          <w:color w:val="17365D"/>
        </w:rPr>
        <w:t>Likuma par valsts budžetu 2.</w:t>
      </w:r>
      <w:r w:rsidR="008750F0" w:rsidRPr="00D613A6">
        <w:rPr>
          <w:noProof w:val="0"/>
          <w:color w:val="17365D"/>
        </w:rPr>
        <w:t xml:space="preserve"> </w:t>
      </w:r>
      <w:r w:rsidR="00250F01" w:rsidRPr="00D613A6">
        <w:rPr>
          <w:noProof w:val="0"/>
          <w:color w:val="17365D"/>
        </w:rPr>
        <w:t>pielikuma “Valsts budžeta ieņēmumi” izpilde</w:t>
      </w:r>
      <w:r w:rsidR="000700B1" w:rsidRPr="00D613A6">
        <w:rPr>
          <w:noProof w:val="0"/>
          <w:color w:val="17365D"/>
        </w:rPr>
        <w:t>”</w:t>
      </w:r>
      <w:r w:rsidR="00E71A6D" w:rsidRPr="00D613A6">
        <w:rPr>
          <w:noProof w:val="0"/>
          <w:color w:val="17365D"/>
        </w:rPr>
        <w:t xml:space="preserve"> sadaļā “I Valsts pamatbudžeta ieņēmumi 20</w:t>
      </w:r>
      <w:r w:rsidR="002A7B83" w:rsidRPr="00D613A6">
        <w:rPr>
          <w:noProof w:val="0"/>
          <w:color w:val="17365D"/>
        </w:rPr>
        <w:t>2</w:t>
      </w:r>
      <w:r w:rsidR="005B5EEF" w:rsidRPr="00D613A6">
        <w:rPr>
          <w:noProof w:val="0"/>
          <w:color w:val="17365D"/>
        </w:rPr>
        <w:t>4</w:t>
      </w:r>
      <w:r w:rsidR="003703B2" w:rsidRPr="00D613A6">
        <w:rPr>
          <w:noProof w:val="0"/>
          <w:color w:val="17365D"/>
        </w:rPr>
        <w:t>. </w:t>
      </w:r>
      <w:r w:rsidR="00E71A6D" w:rsidRPr="00D613A6">
        <w:rPr>
          <w:noProof w:val="0"/>
          <w:color w:val="17365D"/>
        </w:rPr>
        <w:t>gadā</w:t>
      </w:r>
      <w:r w:rsidR="00AC26BE" w:rsidRPr="00D613A6">
        <w:rPr>
          <w:noProof w:val="0"/>
          <w:color w:val="17365D"/>
        </w:rPr>
        <w:t>”</w:t>
      </w:r>
      <w:r w:rsidR="004B7A9C" w:rsidRPr="00D613A6">
        <w:rPr>
          <w:noProof w:val="0"/>
          <w:color w:val="17365D"/>
        </w:rPr>
        <w:t>.</w:t>
      </w:r>
      <w:r w:rsidR="005C0511" w:rsidRPr="00D613A6">
        <w:rPr>
          <w:b/>
          <w:noProof w:val="0"/>
          <w:color w:val="17365D"/>
          <w:lang w:eastAsia="en-US"/>
        </w:rPr>
        <w:t xml:space="preserve"> </w:t>
      </w:r>
      <w:r w:rsidR="00DC3A74" w:rsidRPr="00D613A6">
        <w:rPr>
          <w:noProof w:val="0"/>
          <w:color w:val="17365D"/>
        </w:rPr>
        <w:t xml:space="preserve"> </w:t>
      </w:r>
    </w:p>
    <w:p w14:paraId="2F1E9614" w14:textId="2945A987" w:rsidR="006945F6" w:rsidRPr="00D613A6" w:rsidRDefault="0099580E" w:rsidP="00CC1055">
      <w:pPr>
        <w:pStyle w:val="Pamatteksts1"/>
        <w:tabs>
          <w:tab w:val="left" w:pos="3402"/>
        </w:tabs>
        <w:rPr>
          <w:noProof w:val="0"/>
          <w:color w:val="17365D"/>
        </w:rPr>
      </w:pPr>
      <w:r w:rsidRPr="00D613A6">
        <w:rPr>
          <w:noProof w:val="0"/>
          <w:color w:val="17365D"/>
        </w:rPr>
        <w:t>Lielāk</w:t>
      </w:r>
      <w:r w:rsidR="00C8673D" w:rsidRPr="00D613A6">
        <w:rPr>
          <w:noProof w:val="0"/>
          <w:color w:val="17365D"/>
        </w:rPr>
        <w:t>os</w:t>
      </w:r>
      <w:r w:rsidRPr="00D613A6">
        <w:rPr>
          <w:noProof w:val="0"/>
          <w:color w:val="17365D"/>
        </w:rPr>
        <w:t xml:space="preserve"> nodokļu ieņēmum</w:t>
      </w:r>
      <w:r w:rsidR="00C8673D" w:rsidRPr="00D613A6">
        <w:rPr>
          <w:noProof w:val="0"/>
          <w:color w:val="17365D"/>
        </w:rPr>
        <w:t>us</w:t>
      </w:r>
      <w:r w:rsidRPr="00D613A6">
        <w:rPr>
          <w:noProof w:val="0"/>
          <w:color w:val="17365D"/>
        </w:rPr>
        <w:t xml:space="preserve"> </w:t>
      </w:r>
      <w:r w:rsidR="00322822" w:rsidRPr="00D613A6">
        <w:rPr>
          <w:noProof w:val="0"/>
          <w:color w:val="17365D"/>
        </w:rPr>
        <w:t xml:space="preserve">valsts </w:t>
      </w:r>
      <w:r w:rsidRPr="00D613A6">
        <w:rPr>
          <w:noProof w:val="0"/>
          <w:color w:val="17365D"/>
        </w:rPr>
        <w:t xml:space="preserve">budžetā </w:t>
      </w:r>
      <w:r w:rsidR="00C8673D" w:rsidRPr="00D613A6">
        <w:rPr>
          <w:noProof w:val="0"/>
          <w:color w:val="17365D"/>
        </w:rPr>
        <w:t>veido</w:t>
      </w:r>
      <w:r w:rsidRPr="00D613A6">
        <w:rPr>
          <w:noProof w:val="0"/>
          <w:color w:val="17365D"/>
        </w:rPr>
        <w:t xml:space="preserve"> </w:t>
      </w:r>
      <w:r w:rsidR="00245401" w:rsidRPr="00D613A6">
        <w:rPr>
          <w:noProof w:val="0"/>
          <w:color w:val="17365D"/>
          <w:u w:val="single"/>
        </w:rPr>
        <w:t>pievienotās vērtības nodokl</w:t>
      </w:r>
      <w:r w:rsidR="00C8673D" w:rsidRPr="00D613A6">
        <w:rPr>
          <w:noProof w:val="0"/>
          <w:color w:val="17365D"/>
          <w:u w:val="single"/>
        </w:rPr>
        <w:t>is</w:t>
      </w:r>
      <w:r w:rsidR="00005DF2" w:rsidRPr="00D613A6">
        <w:rPr>
          <w:noProof w:val="0"/>
          <w:color w:val="17365D"/>
        </w:rPr>
        <w:t xml:space="preserve"> (turpmāk – </w:t>
      </w:r>
      <w:r w:rsidR="0042117E" w:rsidRPr="00D613A6">
        <w:rPr>
          <w:noProof w:val="0"/>
          <w:color w:val="17365D"/>
        </w:rPr>
        <w:t>PVN)</w:t>
      </w:r>
      <w:r w:rsidR="00C31CA0" w:rsidRPr="00D613A6">
        <w:rPr>
          <w:noProof w:val="0"/>
          <w:color w:val="17365D"/>
        </w:rPr>
        <w:t xml:space="preserve"> </w:t>
      </w:r>
      <w:r w:rsidR="004045CB" w:rsidRPr="00D613A6">
        <w:rPr>
          <w:noProof w:val="0"/>
          <w:color w:val="17365D"/>
        </w:rPr>
        <w:t>3</w:t>
      </w:r>
      <w:r w:rsidR="00F92F23" w:rsidRPr="00D613A6">
        <w:rPr>
          <w:noProof w:val="0"/>
          <w:color w:val="17365D"/>
        </w:rPr>
        <w:t> </w:t>
      </w:r>
      <w:r w:rsidR="004B498B" w:rsidRPr="00D613A6">
        <w:rPr>
          <w:noProof w:val="0"/>
          <w:color w:val="17365D"/>
        </w:rPr>
        <w:t>8</w:t>
      </w:r>
      <w:r w:rsidR="005B5EEF" w:rsidRPr="00D613A6">
        <w:rPr>
          <w:noProof w:val="0"/>
          <w:color w:val="17365D"/>
        </w:rPr>
        <w:t>82</w:t>
      </w:r>
      <w:r w:rsidRPr="00D613A6">
        <w:rPr>
          <w:noProof w:val="0"/>
          <w:color w:val="17365D"/>
        </w:rPr>
        <w:t>,</w:t>
      </w:r>
      <w:r w:rsidR="005B5EEF" w:rsidRPr="00D613A6">
        <w:rPr>
          <w:noProof w:val="0"/>
          <w:color w:val="17365D"/>
        </w:rPr>
        <w:t>4</w:t>
      </w:r>
      <w:r w:rsidRPr="00D613A6">
        <w:rPr>
          <w:noProof w:val="0"/>
          <w:color w:val="17365D"/>
        </w:rPr>
        <w:t> 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126B3B" w:rsidRPr="00D613A6">
        <w:rPr>
          <w:rStyle w:val="Piemrstxt"/>
          <w:rFonts w:ascii="Times New Roman" w:hAnsi="Times New Roman"/>
          <w:i/>
          <w:noProof w:val="0"/>
          <w:color w:val="17365D"/>
          <w:sz w:val="24"/>
        </w:rPr>
        <w:t xml:space="preserve"> </w:t>
      </w:r>
      <w:r w:rsidR="00126B3B" w:rsidRPr="00D613A6">
        <w:rPr>
          <w:rStyle w:val="Piemrstxt"/>
          <w:rFonts w:ascii="Times New Roman" w:hAnsi="Times New Roman"/>
          <w:noProof w:val="0"/>
          <w:color w:val="17365D"/>
          <w:sz w:val="24"/>
        </w:rPr>
        <w:t>vērtībā</w:t>
      </w:r>
      <w:r w:rsidR="00AA04F0" w:rsidRPr="00D613A6">
        <w:rPr>
          <w:noProof w:val="0"/>
          <w:color w:val="17365D"/>
        </w:rPr>
        <w:t>.</w:t>
      </w:r>
      <w:r w:rsidRPr="00D613A6">
        <w:rPr>
          <w:noProof w:val="0"/>
          <w:color w:val="17365D"/>
        </w:rPr>
        <w:t xml:space="preserve"> </w:t>
      </w:r>
      <w:r w:rsidR="00AA04F0" w:rsidRPr="00D613A6">
        <w:rPr>
          <w:noProof w:val="0"/>
          <w:color w:val="17365D"/>
        </w:rPr>
        <w:t>Šī nodokļa ieņēmumu izpilde</w:t>
      </w:r>
      <w:r w:rsidR="00AA04F0" w:rsidRPr="00D613A6" w:rsidDel="00AA04F0">
        <w:rPr>
          <w:noProof w:val="0"/>
          <w:color w:val="17365D"/>
        </w:rPr>
        <w:t xml:space="preserve"> </w:t>
      </w:r>
      <w:r w:rsidR="00AA04F0" w:rsidRPr="00D613A6">
        <w:rPr>
          <w:noProof w:val="0"/>
          <w:color w:val="17365D"/>
        </w:rPr>
        <w:t xml:space="preserve">salīdzinājumā ar Likumā noteikto </w:t>
      </w:r>
      <w:r w:rsidRPr="00D613A6">
        <w:rPr>
          <w:noProof w:val="0"/>
          <w:color w:val="17365D"/>
        </w:rPr>
        <w:t>gada plān</w:t>
      </w:r>
      <w:r w:rsidR="00AA04F0" w:rsidRPr="00D613A6">
        <w:rPr>
          <w:noProof w:val="0"/>
          <w:color w:val="17365D"/>
        </w:rPr>
        <w:t>u</w:t>
      </w:r>
      <w:r w:rsidR="008645C9" w:rsidRPr="00D613A6">
        <w:rPr>
          <w:noProof w:val="0"/>
          <w:color w:val="17365D"/>
        </w:rPr>
        <w:t xml:space="preserve"> ar izmaiņām</w:t>
      </w:r>
      <w:r w:rsidRPr="00D613A6">
        <w:rPr>
          <w:noProof w:val="0"/>
          <w:color w:val="17365D"/>
        </w:rPr>
        <w:t xml:space="preserve"> ir </w:t>
      </w:r>
      <w:r w:rsidR="005B5EEF" w:rsidRPr="00D613A6">
        <w:rPr>
          <w:noProof w:val="0"/>
          <w:color w:val="17365D"/>
        </w:rPr>
        <w:t>94</w:t>
      </w:r>
      <w:r w:rsidRPr="00D613A6">
        <w:rPr>
          <w:noProof w:val="0"/>
          <w:color w:val="17365D"/>
        </w:rPr>
        <w:t>,</w:t>
      </w:r>
      <w:r w:rsidR="00F63C69" w:rsidRPr="00D613A6">
        <w:rPr>
          <w:noProof w:val="0"/>
          <w:color w:val="17365D"/>
        </w:rPr>
        <w:t>77</w:t>
      </w:r>
      <w:r w:rsidR="006A7956" w:rsidRPr="00D613A6">
        <w:rPr>
          <w:noProof w:val="0"/>
          <w:color w:val="17365D"/>
        </w:rPr>
        <w:t> %</w:t>
      </w:r>
      <w:r w:rsidR="005B5EEF" w:rsidRPr="00D613A6">
        <w:rPr>
          <w:noProof w:val="0"/>
          <w:color w:val="17365D"/>
        </w:rPr>
        <w:t xml:space="preserve">, bet </w:t>
      </w:r>
      <w:r w:rsidR="00AA04F0" w:rsidRPr="00D613A6">
        <w:rPr>
          <w:noProof w:val="0"/>
          <w:color w:val="17365D"/>
        </w:rPr>
        <w:t>s</w:t>
      </w:r>
      <w:r w:rsidRPr="00D613A6">
        <w:rPr>
          <w:noProof w:val="0"/>
          <w:color w:val="17365D"/>
        </w:rPr>
        <w:t xml:space="preserve">alīdzinājumā ar </w:t>
      </w:r>
      <w:r w:rsidR="008F2503" w:rsidRPr="00D613A6">
        <w:rPr>
          <w:noProof w:val="0"/>
          <w:color w:val="17365D"/>
        </w:rPr>
        <w:t>20</w:t>
      </w:r>
      <w:r w:rsidR="00506776"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89551D" w:rsidRPr="00D613A6">
        <w:rPr>
          <w:noProof w:val="0"/>
          <w:color w:val="17365D"/>
        </w:rPr>
        <w:t>PVN</w:t>
      </w:r>
      <w:r w:rsidRPr="00D613A6">
        <w:rPr>
          <w:noProof w:val="0"/>
          <w:color w:val="17365D"/>
        </w:rPr>
        <w:t xml:space="preserve"> ieņēmumi ir </w:t>
      </w:r>
      <w:r w:rsidR="005B5EEF" w:rsidRPr="00D613A6">
        <w:rPr>
          <w:noProof w:val="0"/>
          <w:color w:val="17365D"/>
        </w:rPr>
        <w:t>palielinājušies</w:t>
      </w:r>
      <w:r w:rsidRPr="00D613A6">
        <w:rPr>
          <w:noProof w:val="0"/>
          <w:color w:val="17365D"/>
        </w:rPr>
        <w:t xml:space="preserve"> par </w:t>
      </w:r>
      <w:r w:rsidR="005B5EEF" w:rsidRPr="00D613A6">
        <w:rPr>
          <w:noProof w:val="0"/>
          <w:color w:val="17365D"/>
        </w:rPr>
        <w:t>2</w:t>
      </w:r>
      <w:r w:rsidRPr="00D613A6">
        <w:rPr>
          <w:noProof w:val="0"/>
          <w:color w:val="17365D"/>
        </w:rPr>
        <w:t>,</w:t>
      </w:r>
      <w:r w:rsidR="004B498B" w:rsidRPr="00D613A6">
        <w:rPr>
          <w:noProof w:val="0"/>
          <w:color w:val="17365D"/>
        </w:rPr>
        <w:t>8</w:t>
      </w:r>
      <w:r w:rsidR="00CC1055" w:rsidRPr="00D613A6">
        <w:rPr>
          <w:noProof w:val="0"/>
          <w:color w:val="17365D"/>
        </w:rPr>
        <w:t> </w:t>
      </w:r>
      <w:r w:rsidRPr="00D613A6">
        <w:rPr>
          <w:noProof w:val="0"/>
          <w:color w:val="17365D"/>
        </w:rPr>
        <w:t>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B72EAB" w:rsidRPr="00D613A6">
        <w:rPr>
          <w:noProof w:val="0"/>
          <w:color w:val="17365D"/>
        </w:rPr>
        <w:t xml:space="preserve"> </w:t>
      </w:r>
      <w:r w:rsidRPr="00D613A6">
        <w:rPr>
          <w:noProof w:val="0"/>
          <w:color w:val="17365D"/>
        </w:rPr>
        <w:t xml:space="preserve">jeb </w:t>
      </w:r>
      <w:r w:rsidR="005B5EEF" w:rsidRPr="00D613A6">
        <w:rPr>
          <w:noProof w:val="0"/>
          <w:color w:val="17365D"/>
        </w:rPr>
        <w:t>0</w:t>
      </w:r>
      <w:r w:rsidRPr="00D613A6">
        <w:rPr>
          <w:noProof w:val="0"/>
          <w:color w:val="17365D"/>
        </w:rPr>
        <w:t>,</w:t>
      </w:r>
      <w:r w:rsidR="00AA397C" w:rsidRPr="00D613A6">
        <w:rPr>
          <w:noProof w:val="0"/>
          <w:color w:val="17365D"/>
        </w:rPr>
        <w:t>07</w:t>
      </w:r>
      <w:r w:rsidR="003703B2" w:rsidRPr="00D613A6">
        <w:rPr>
          <w:noProof w:val="0"/>
          <w:color w:val="17365D"/>
        </w:rPr>
        <w:t> </w:t>
      </w:r>
      <w:r w:rsidR="007D4863" w:rsidRPr="00D613A6">
        <w:rPr>
          <w:noProof w:val="0"/>
          <w:color w:val="17365D"/>
        </w:rPr>
        <w:t>%</w:t>
      </w:r>
      <w:r w:rsidR="005F2846" w:rsidRPr="00D613A6">
        <w:rPr>
          <w:noProof w:val="0"/>
          <w:color w:val="17365D"/>
        </w:rPr>
        <w:t xml:space="preserve"> (skatīt </w:t>
      </w:r>
      <w:r w:rsidR="00D73D77" w:rsidRPr="00D613A6">
        <w:rPr>
          <w:noProof w:val="0"/>
          <w:color w:val="17365D"/>
        </w:rPr>
        <w:t>6.</w:t>
      </w:r>
      <w:r w:rsidR="00AA397C" w:rsidRPr="00D613A6">
        <w:rPr>
          <w:noProof w:val="0"/>
          <w:color w:val="17365D"/>
        </w:rPr>
        <w:t>5</w:t>
      </w:r>
      <w:r w:rsidR="00CB5DD4" w:rsidRPr="00D613A6">
        <w:rPr>
          <w:noProof w:val="0"/>
          <w:color w:val="17365D"/>
        </w:rPr>
        <w:t>.</w:t>
      </w:r>
      <w:r w:rsidR="0054767E" w:rsidRPr="00D613A6">
        <w:rPr>
          <w:noProof w:val="0"/>
          <w:color w:val="17365D"/>
        </w:rPr>
        <w:t xml:space="preserve"> </w:t>
      </w:r>
      <w:r w:rsidR="005F2846" w:rsidRPr="00D613A6">
        <w:rPr>
          <w:noProof w:val="0"/>
          <w:color w:val="17365D"/>
        </w:rPr>
        <w:t>attēlu)</w:t>
      </w:r>
      <w:r w:rsidRPr="00D613A6">
        <w:rPr>
          <w:noProof w:val="0"/>
          <w:color w:val="17365D"/>
        </w:rPr>
        <w:t>.</w:t>
      </w:r>
      <w:r w:rsidR="00DC642C" w:rsidRPr="00D613A6">
        <w:rPr>
          <w:noProof w:val="0"/>
          <w:color w:val="17365D"/>
        </w:rPr>
        <w:t xml:space="preserve"> </w:t>
      </w:r>
    </w:p>
    <w:p w14:paraId="4370451F" w14:textId="094E94D1" w:rsidR="00166D9C" w:rsidRPr="00D613A6" w:rsidRDefault="00897183" w:rsidP="00897183">
      <w:pPr>
        <w:pStyle w:val="Pamatteksts1"/>
        <w:tabs>
          <w:tab w:val="left" w:pos="3402"/>
        </w:tabs>
        <w:ind w:firstLine="0"/>
        <w:jc w:val="left"/>
        <w:rPr>
          <w:noProof w:val="0"/>
          <w:color w:val="17365D"/>
        </w:rPr>
      </w:pPr>
      <w:r w:rsidRPr="00D613A6">
        <w:rPr>
          <w:color w:val="17365D"/>
        </w:rPr>
        <w:drawing>
          <wp:inline distT="0" distB="0" distL="0" distR="0" wp14:anchorId="26AFD864" wp14:editId="0A07772F">
            <wp:extent cx="5941060" cy="3730028"/>
            <wp:effectExtent l="0" t="0" r="2540" b="381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189785" w14:textId="2AFC70C0" w:rsidR="00166D9C" w:rsidRPr="00D613A6" w:rsidRDefault="00D73D77" w:rsidP="00290B1A">
      <w:pPr>
        <w:pStyle w:val="Pamatteksts1"/>
        <w:tabs>
          <w:tab w:val="left" w:pos="3402"/>
        </w:tabs>
        <w:ind w:firstLine="0"/>
        <w:jc w:val="center"/>
        <w:rPr>
          <w:i/>
          <w:noProof w:val="0"/>
          <w:color w:val="17365D"/>
        </w:rPr>
      </w:pPr>
      <w:r w:rsidRPr="00D613A6">
        <w:rPr>
          <w:i/>
          <w:noProof w:val="0"/>
          <w:color w:val="17365D"/>
        </w:rPr>
        <w:t>6.</w:t>
      </w:r>
      <w:r w:rsidR="005A03C8" w:rsidRPr="00D613A6">
        <w:rPr>
          <w:i/>
          <w:noProof w:val="0"/>
          <w:color w:val="17365D"/>
        </w:rPr>
        <w:t>5</w:t>
      </w:r>
      <w:r w:rsidR="00166D9C" w:rsidRPr="00D613A6">
        <w:rPr>
          <w:i/>
          <w:noProof w:val="0"/>
          <w:color w:val="17365D"/>
        </w:rPr>
        <w:t xml:space="preserve">. attēls. </w:t>
      </w:r>
      <w:r w:rsidR="00337132" w:rsidRPr="00D613A6">
        <w:rPr>
          <w:i/>
          <w:noProof w:val="0"/>
          <w:color w:val="17365D"/>
        </w:rPr>
        <w:t>N</w:t>
      </w:r>
      <w:r w:rsidR="00166D9C" w:rsidRPr="00D613A6">
        <w:rPr>
          <w:i/>
          <w:noProof w:val="0"/>
          <w:color w:val="17365D"/>
        </w:rPr>
        <w:t>odokļ</w:t>
      </w:r>
      <w:r w:rsidR="00337132" w:rsidRPr="00D613A6">
        <w:rPr>
          <w:i/>
          <w:noProof w:val="0"/>
          <w:color w:val="17365D"/>
        </w:rPr>
        <w:t>u</w:t>
      </w:r>
      <w:r w:rsidR="00166D9C" w:rsidRPr="00D613A6">
        <w:rPr>
          <w:i/>
          <w:noProof w:val="0"/>
          <w:color w:val="17365D"/>
        </w:rPr>
        <w:t xml:space="preserve"> ieņēmumi 20</w:t>
      </w:r>
      <w:r w:rsidR="008C783E" w:rsidRPr="00D613A6">
        <w:rPr>
          <w:i/>
          <w:noProof w:val="0"/>
          <w:color w:val="17365D"/>
        </w:rPr>
        <w:t>2</w:t>
      </w:r>
      <w:r w:rsidR="006C6FDC" w:rsidRPr="00D613A6">
        <w:rPr>
          <w:i/>
          <w:noProof w:val="0"/>
          <w:color w:val="17365D"/>
        </w:rPr>
        <w:t>3</w:t>
      </w:r>
      <w:r w:rsidR="00166D9C" w:rsidRPr="00D613A6">
        <w:rPr>
          <w:i/>
          <w:noProof w:val="0"/>
          <w:color w:val="17365D"/>
        </w:rPr>
        <w:t>. gadā un 20</w:t>
      </w:r>
      <w:r w:rsidR="004927E4" w:rsidRPr="00D613A6">
        <w:rPr>
          <w:i/>
          <w:noProof w:val="0"/>
          <w:color w:val="17365D"/>
        </w:rPr>
        <w:t>2</w:t>
      </w:r>
      <w:r w:rsidR="006C6FDC" w:rsidRPr="00D613A6">
        <w:rPr>
          <w:i/>
          <w:noProof w:val="0"/>
          <w:color w:val="17365D"/>
        </w:rPr>
        <w:t>4</w:t>
      </w:r>
      <w:r w:rsidR="00166D9C" w:rsidRPr="00D613A6">
        <w:rPr>
          <w:i/>
          <w:noProof w:val="0"/>
          <w:color w:val="17365D"/>
        </w:rPr>
        <w:t>. gadā (milj. euro)</w:t>
      </w:r>
    </w:p>
    <w:p w14:paraId="43D8BF04" w14:textId="58D19EBF" w:rsidR="00815050" w:rsidRPr="00D613A6" w:rsidRDefault="00815050" w:rsidP="004045CB">
      <w:pPr>
        <w:pStyle w:val="Pamatteksts1"/>
        <w:spacing w:before="240"/>
        <w:ind w:firstLine="0"/>
        <w:rPr>
          <w:noProof w:val="0"/>
          <w:color w:val="17365D"/>
        </w:rPr>
      </w:pPr>
      <w:r w:rsidRPr="00D613A6">
        <w:rPr>
          <w:noProof w:val="0"/>
          <w:color w:val="17365D"/>
        </w:rPr>
        <w:t xml:space="preserve">Saskaņā ar CSP datiem, 2024.gadā palielinājusies  strādājošo darba samaksa par 9.63 %, kas </w:t>
      </w:r>
      <w:r w:rsidR="003A0731">
        <w:rPr>
          <w:noProof w:val="0"/>
          <w:color w:val="17365D"/>
        </w:rPr>
        <w:t xml:space="preserve">veicināja </w:t>
      </w:r>
      <w:r w:rsidRPr="00D613A6">
        <w:rPr>
          <w:noProof w:val="0"/>
          <w:color w:val="17365D"/>
        </w:rPr>
        <w:t>mājsaimniecīb</w:t>
      </w:r>
      <w:r w:rsidR="003A0731">
        <w:rPr>
          <w:noProof w:val="0"/>
          <w:color w:val="17365D"/>
        </w:rPr>
        <w:t>u ienākumu kāpumu, palielināja patēriņu, kas sekmēja</w:t>
      </w:r>
      <w:r w:rsidRPr="00D613A6">
        <w:rPr>
          <w:noProof w:val="0"/>
          <w:color w:val="17365D"/>
        </w:rPr>
        <w:t xml:space="preserve"> lielākus PVN ieņēmumus.</w:t>
      </w:r>
    </w:p>
    <w:p w14:paraId="3402E1BD" w14:textId="3B688661" w:rsidR="00A05099" w:rsidRPr="00D613A6" w:rsidRDefault="00AA397C" w:rsidP="004045CB">
      <w:pPr>
        <w:pStyle w:val="Pamatteksts1"/>
        <w:spacing w:before="240"/>
        <w:ind w:firstLine="0"/>
        <w:rPr>
          <w:noProof w:val="0"/>
          <w:color w:val="17365D"/>
        </w:rPr>
      </w:pPr>
      <w:r w:rsidRPr="00D613A6">
        <w:rPr>
          <w:noProof w:val="0"/>
          <w:color w:val="17365D"/>
        </w:rPr>
        <w:t xml:space="preserve">Krasa energoresursu cenu samazinājuma ietekmē mazākus PVN ieņēmumus iemaksāja energoapgādes nozare. </w:t>
      </w:r>
    </w:p>
    <w:p w14:paraId="6A2454CF" w14:textId="485C7D30" w:rsidR="002F5192" w:rsidRPr="00D613A6" w:rsidRDefault="0099580E" w:rsidP="00EF692A">
      <w:pPr>
        <w:pStyle w:val="Bullets"/>
        <w:numPr>
          <w:ilvl w:val="0"/>
          <w:numId w:val="0"/>
        </w:numPr>
        <w:ind w:firstLine="567"/>
        <w:rPr>
          <w:noProof w:val="0"/>
          <w:color w:val="17365D"/>
        </w:rPr>
      </w:pPr>
      <w:r w:rsidRPr="00D613A6">
        <w:rPr>
          <w:noProof w:val="0"/>
          <w:color w:val="17365D"/>
          <w:u w:val="single"/>
        </w:rPr>
        <w:t>Akcīzes nodokļa</w:t>
      </w:r>
      <w:r w:rsidRPr="00D613A6">
        <w:rPr>
          <w:iCs/>
          <w:noProof w:val="0"/>
          <w:color w:val="17365D"/>
        </w:rPr>
        <w:t xml:space="preserve"> </w:t>
      </w:r>
      <w:r w:rsidRPr="00D613A6">
        <w:rPr>
          <w:noProof w:val="0"/>
          <w:color w:val="17365D"/>
        </w:rPr>
        <w:t>kopējie ieņēmumi</w:t>
      </w:r>
      <w:r w:rsidRPr="00D613A6">
        <w:rPr>
          <w:i/>
          <w:noProof w:val="0"/>
          <w:color w:val="17365D"/>
        </w:rPr>
        <w:t xml:space="preserve"> </w:t>
      </w:r>
      <w:r w:rsidR="008F2503" w:rsidRPr="00D613A6">
        <w:rPr>
          <w:noProof w:val="0"/>
          <w:color w:val="17365D"/>
        </w:rPr>
        <w:t>20</w:t>
      </w:r>
      <w:r w:rsidR="007B551B"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9D050A" w:rsidRPr="00D613A6">
        <w:rPr>
          <w:noProof w:val="0"/>
          <w:color w:val="17365D"/>
        </w:rPr>
        <w:t>1</w:t>
      </w:r>
      <w:r w:rsidR="00D25432" w:rsidRPr="00D613A6">
        <w:rPr>
          <w:noProof w:val="0"/>
          <w:color w:val="17365D"/>
        </w:rPr>
        <w:t> </w:t>
      </w:r>
      <w:r w:rsidR="00C719C0" w:rsidRPr="00D613A6">
        <w:rPr>
          <w:noProof w:val="0"/>
          <w:color w:val="17365D"/>
        </w:rPr>
        <w:t>1</w:t>
      </w:r>
      <w:r w:rsidR="005B5EEF" w:rsidRPr="00D613A6">
        <w:rPr>
          <w:noProof w:val="0"/>
          <w:color w:val="17365D"/>
        </w:rPr>
        <w:t>90</w:t>
      </w:r>
      <w:r w:rsidRPr="00D613A6">
        <w:rPr>
          <w:noProof w:val="0"/>
          <w:color w:val="17365D"/>
        </w:rPr>
        <w:t>,</w:t>
      </w:r>
      <w:r w:rsidR="004B7AC8" w:rsidRPr="00D613A6">
        <w:rPr>
          <w:noProof w:val="0"/>
          <w:color w:val="17365D"/>
        </w:rPr>
        <w:t>8</w:t>
      </w:r>
      <w:r w:rsidRPr="00D613A6">
        <w:rPr>
          <w:noProof w:val="0"/>
          <w:color w:val="17365D"/>
        </w:rPr>
        <w:t> milj</w:t>
      </w:r>
      <w:r w:rsidR="00574FB1"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D25432"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736531" w:rsidRPr="00D613A6">
        <w:rPr>
          <w:noProof w:val="0"/>
          <w:color w:val="17365D"/>
        </w:rPr>
        <w:t>palieli</w:t>
      </w:r>
      <w:r w:rsidR="00CC04E6" w:rsidRPr="00D613A6">
        <w:rPr>
          <w:noProof w:val="0"/>
          <w:color w:val="17365D"/>
        </w:rPr>
        <w:t>nā</w:t>
      </w:r>
      <w:r w:rsidRPr="00D613A6">
        <w:rPr>
          <w:noProof w:val="0"/>
          <w:color w:val="17365D"/>
        </w:rPr>
        <w:t xml:space="preserve">jušies par </w:t>
      </w:r>
      <w:r w:rsidR="005B5EEF" w:rsidRPr="00D613A6">
        <w:rPr>
          <w:noProof w:val="0"/>
          <w:color w:val="17365D"/>
        </w:rPr>
        <w:t>36</w:t>
      </w:r>
      <w:r w:rsidRPr="00D613A6">
        <w:rPr>
          <w:noProof w:val="0"/>
          <w:color w:val="17365D"/>
        </w:rPr>
        <w:t>,</w:t>
      </w:r>
      <w:r w:rsidR="005B5EEF" w:rsidRPr="00D613A6">
        <w:rPr>
          <w:noProof w:val="0"/>
          <w:color w:val="17365D"/>
        </w:rPr>
        <w:t>0</w:t>
      </w:r>
      <w:r w:rsidR="00536DFF" w:rsidRPr="00D613A6">
        <w:rPr>
          <w:noProof w:val="0"/>
          <w:color w:val="17365D"/>
        </w:rPr>
        <w:t> milj.</w:t>
      </w:r>
      <w:r w:rsidR="00574FB1" w:rsidRPr="00D613A6">
        <w:rPr>
          <w:noProof w:val="0"/>
          <w:color w:val="17365D"/>
        </w:rPr>
        <w:t> </w:t>
      </w:r>
      <w:r w:rsidR="00EF7B9A" w:rsidRPr="00D613A6">
        <w:rPr>
          <w:rStyle w:val="Piemrstxt"/>
          <w:rFonts w:ascii="Times New Roman" w:hAnsi="Times New Roman"/>
          <w:i/>
          <w:noProof w:val="0"/>
          <w:color w:val="17365D"/>
          <w:sz w:val="24"/>
        </w:rPr>
        <w:t>euro</w:t>
      </w:r>
      <w:r w:rsidR="00574FB1" w:rsidRPr="00D613A6">
        <w:rPr>
          <w:noProof w:val="0"/>
          <w:color w:val="17365D"/>
        </w:rPr>
        <w:t> </w:t>
      </w:r>
      <w:r w:rsidRPr="00D613A6">
        <w:rPr>
          <w:noProof w:val="0"/>
          <w:color w:val="17365D"/>
        </w:rPr>
        <w:t xml:space="preserve">jeb </w:t>
      </w:r>
      <w:r w:rsidR="005B5EEF" w:rsidRPr="00D613A6">
        <w:rPr>
          <w:noProof w:val="0"/>
          <w:color w:val="17365D"/>
        </w:rPr>
        <w:t>3</w:t>
      </w:r>
      <w:r w:rsidRPr="00D613A6">
        <w:rPr>
          <w:noProof w:val="0"/>
          <w:color w:val="17365D"/>
        </w:rPr>
        <w:t>,</w:t>
      </w:r>
      <w:r w:rsidR="004B7AC8" w:rsidRPr="00D613A6">
        <w:rPr>
          <w:noProof w:val="0"/>
          <w:color w:val="17365D"/>
        </w:rPr>
        <w:t>1</w:t>
      </w:r>
      <w:r w:rsidR="00815050" w:rsidRPr="00D613A6">
        <w:rPr>
          <w:noProof w:val="0"/>
          <w:color w:val="17365D"/>
        </w:rPr>
        <w:t>2</w:t>
      </w:r>
      <w:r w:rsidR="00232D77" w:rsidRPr="00D613A6">
        <w:rPr>
          <w:noProof w:val="0"/>
          <w:color w:val="17365D"/>
        </w:rPr>
        <w:t> </w:t>
      </w:r>
      <w:r w:rsidR="006A7956" w:rsidRPr="00D613A6">
        <w:rPr>
          <w:noProof w:val="0"/>
          <w:color w:val="17365D"/>
        </w:rPr>
        <w:t>%</w:t>
      </w:r>
      <w:r w:rsidR="00986EEB" w:rsidRPr="00D613A6">
        <w:rPr>
          <w:noProof w:val="0"/>
          <w:color w:val="17365D"/>
        </w:rPr>
        <w:t xml:space="preserve">. </w:t>
      </w:r>
      <w:r w:rsidR="00952199" w:rsidRPr="00D613A6">
        <w:rPr>
          <w:noProof w:val="0"/>
          <w:color w:val="17365D"/>
        </w:rPr>
        <w:t>S</w:t>
      </w:r>
      <w:r w:rsidRPr="00D613A6">
        <w:rPr>
          <w:noProof w:val="0"/>
          <w:color w:val="17365D"/>
        </w:rPr>
        <w:t>avukārt</w:t>
      </w:r>
      <w:r w:rsidR="00FD3BAF" w:rsidRPr="00D613A6">
        <w:rPr>
          <w:noProof w:val="0"/>
          <w:color w:val="17365D"/>
        </w:rPr>
        <w:t>,</w:t>
      </w:r>
      <w:r w:rsidRPr="00D613A6">
        <w:rPr>
          <w:noProof w:val="0"/>
          <w:color w:val="17365D"/>
        </w:rPr>
        <w:t xml:space="preserve"> </w:t>
      </w:r>
      <w:r w:rsidR="00F14D49" w:rsidRPr="00D613A6">
        <w:rPr>
          <w:noProof w:val="0"/>
          <w:color w:val="17365D"/>
        </w:rPr>
        <w:t xml:space="preserve">šī nodokļa </w:t>
      </w:r>
      <w:r w:rsidRPr="00D613A6">
        <w:rPr>
          <w:noProof w:val="0"/>
          <w:color w:val="17365D"/>
        </w:rPr>
        <w:t xml:space="preserve">gada plāna izpilde ir </w:t>
      </w:r>
      <w:r w:rsidR="00D25432" w:rsidRPr="00D613A6">
        <w:rPr>
          <w:noProof w:val="0"/>
          <w:color w:val="17365D"/>
        </w:rPr>
        <w:t>9</w:t>
      </w:r>
      <w:r w:rsidR="005B5EEF" w:rsidRPr="00D613A6">
        <w:rPr>
          <w:noProof w:val="0"/>
          <w:color w:val="17365D"/>
        </w:rPr>
        <w:t>4</w:t>
      </w:r>
      <w:r w:rsidRPr="00D613A6">
        <w:rPr>
          <w:noProof w:val="0"/>
          <w:color w:val="17365D"/>
        </w:rPr>
        <w:t>,</w:t>
      </w:r>
      <w:r w:rsidR="00815050" w:rsidRPr="00D613A6">
        <w:rPr>
          <w:noProof w:val="0"/>
          <w:color w:val="17365D"/>
        </w:rPr>
        <w:t>8</w:t>
      </w:r>
      <w:r w:rsidR="005B5EEF" w:rsidRPr="00D613A6">
        <w:rPr>
          <w:noProof w:val="0"/>
          <w:color w:val="17365D"/>
        </w:rPr>
        <w:t>9</w:t>
      </w:r>
      <w:r w:rsidR="006A7956" w:rsidRPr="00D613A6">
        <w:rPr>
          <w:noProof w:val="0"/>
          <w:color w:val="17365D"/>
        </w:rPr>
        <w:t> %</w:t>
      </w:r>
      <w:r w:rsidRPr="00D613A6">
        <w:rPr>
          <w:noProof w:val="0"/>
          <w:color w:val="17365D"/>
        </w:rPr>
        <w:t xml:space="preserve">. </w:t>
      </w:r>
    </w:p>
    <w:p w14:paraId="40641659" w14:textId="774EB385" w:rsidR="0036142A" w:rsidRPr="00D613A6" w:rsidRDefault="00AA04F0" w:rsidP="00A976C0">
      <w:pPr>
        <w:pStyle w:val="Pamatteksts1"/>
        <w:ind w:firstLine="0"/>
        <w:rPr>
          <w:noProof w:val="0"/>
          <w:color w:val="17365D"/>
        </w:rPr>
      </w:pPr>
      <w:r w:rsidRPr="00D613A6">
        <w:rPr>
          <w:noProof w:val="0"/>
          <w:color w:val="17365D"/>
        </w:rPr>
        <w:t xml:space="preserve">Akcīzes nodokļa ieņēmumu </w:t>
      </w:r>
      <w:r w:rsidR="009A581D" w:rsidRPr="00D613A6">
        <w:rPr>
          <w:noProof w:val="0"/>
          <w:color w:val="17365D"/>
        </w:rPr>
        <w:t>palielinājumu</w:t>
      </w:r>
      <w:r w:rsidRPr="00D613A6">
        <w:rPr>
          <w:noProof w:val="0"/>
          <w:color w:val="17365D"/>
        </w:rPr>
        <w:t xml:space="preserve"> galvenokārt </w:t>
      </w:r>
      <w:r w:rsidR="00825625" w:rsidRPr="00D613A6">
        <w:rPr>
          <w:noProof w:val="0"/>
          <w:color w:val="17365D"/>
        </w:rPr>
        <w:t>ietekmēja</w:t>
      </w:r>
      <w:r w:rsidR="009A581D" w:rsidRPr="00D613A6">
        <w:rPr>
          <w:noProof w:val="0"/>
          <w:color w:val="17365D"/>
        </w:rPr>
        <w:t xml:space="preserve"> </w:t>
      </w:r>
      <w:r w:rsidR="0036142A" w:rsidRPr="00D613A6">
        <w:rPr>
          <w:noProof w:val="0"/>
          <w:color w:val="17365D"/>
        </w:rPr>
        <w:t>ar 2024.gada 1.martu noteiktās paaugstinātās akcīzes nodokļa likmes tabakas izstrādājumiem, alkoholiskiem dzērieniem, elektroniskajām smēķēšanas ierīcēs izmantotajiem šķidrumiem, bezalkoholiskajiem dzērieniem ar augstu cukura saturu un enerģijas dzērieniem. Komer</w:t>
      </w:r>
      <w:r w:rsidR="004A4F53" w:rsidRPr="00D613A6">
        <w:rPr>
          <w:noProof w:val="0"/>
          <w:color w:val="17365D"/>
        </w:rPr>
        <w:t>santiem bija jāveic krājumā eso</w:t>
      </w:r>
      <w:r w:rsidR="0036142A" w:rsidRPr="00D613A6">
        <w:rPr>
          <w:noProof w:val="0"/>
          <w:color w:val="17365D"/>
        </w:rPr>
        <w:t>šo preču inventarizācija un jāiemaksā akcīzes nodokļa starpības summa, kas arī nodrošināja papildus ieņēmumus valsts budžetā.</w:t>
      </w:r>
    </w:p>
    <w:p w14:paraId="596B567A" w14:textId="11E5ABA8" w:rsidR="00E859E6" w:rsidRPr="00D613A6" w:rsidRDefault="0099580E" w:rsidP="009A581D">
      <w:pPr>
        <w:pStyle w:val="Pamatteksts1"/>
        <w:rPr>
          <w:noProof w:val="0"/>
          <w:color w:val="17365D"/>
        </w:rPr>
      </w:pPr>
      <w:r w:rsidRPr="00D613A6">
        <w:rPr>
          <w:noProof w:val="0"/>
          <w:color w:val="17365D"/>
          <w:u w:val="single"/>
        </w:rPr>
        <w:lastRenderedPageBreak/>
        <w:t>Iedzīvotāju ienākuma nodokļa</w:t>
      </w:r>
      <w:r w:rsidRPr="00D613A6">
        <w:rPr>
          <w:noProof w:val="0"/>
          <w:color w:val="17365D"/>
        </w:rPr>
        <w:t xml:space="preserve"> </w:t>
      </w:r>
      <w:r w:rsidR="000A70E2" w:rsidRPr="00D613A6">
        <w:rPr>
          <w:noProof w:val="0"/>
          <w:color w:val="17365D"/>
        </w:rPr>
        <w:t xml:space="preserve">(turpmāk – IIN) </w:t>
      </w:r>
      <w:r w:rsidRPr="00D613A6">
        <w:rPr>
          <w:noProof w:val="0"/>
          <w:color w:val="17365D"/>
        </w:rPr>
        <w:t xml:space="preserve">ieņēmumi valsts pamatbudžetā </w:t>
      </w:r>
      <w:r w:rsidR="008F2503" w:rsidRPr="00D613A6">
        <w:rPr>
          <w:noProof w:val="0"/>
          <w:color w:val="17365D"/>
        </w:rPr>
        <w:t>20</w:t>
      </w:r>
      <w:r w:rsidR="0064622B"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5B5EEF" w:rsidRPr="00D613A6">
        <w:rPr>
          <w:noProof w:val="0"/>
          <w:color w:val="17365D"/>
        </w:rPr>
        <w:t>702</w:t>
      </w:r>
      <w:r w:rsidRPr="00D613A6">
        <w:rPr>
          <w:noProof w:val="0"/>
          <w:color w:val="17365D"/>
        </w:rPr>
        <w:t>,</w:t>
      </w:r>
      <w:r w:rsidR="005B5EEF" w:rsidRPr="00D613A6">
        <w:rPr>
          <w:noProof w:val="0"/>
          <w:color w:val="17365D"/>
        </w:rPr>
        <w:t>7</w:t>
      </w:r>
      <w:r w:rsidR="00D30EB7" w:rsidRPr="00D613A6">
        <w:rPr>
          <w:noProof w:val="0"/>
          <w:color w:val="17365D"/>
        </w:rPr>
        <w:t> milj.</w:t>
      </w:r>
      <w:r w:rsidR="00BF4CF1"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F12BE5"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ir par </w:t>
      </w:r>
      <w:r w:rsidR="005B5EEF" w:rsidRPr="00D613A6">
        <w:rPr>
          <w:noProof w:val="0"/>
          <w:color w:val="17365D"/>
        </w:rPr>
        <w:t>77</w:t>
      </w:r>
      <w:r w:rsidR="002D7172" w:rsidRPr="00D613A6">
        <w:rPr>
          <w:noProof w:val="0"/>
          <w:color w:val="17365D"/>
        </w:rPr>
        <w:t>,</w:t>
      </w:r>
      <w:r w:rsidR="005B5EEF" w:rsidRPr="00D613A6">
        <w:rPr>
          <w:noProof w:val="0"/>
          <w:color w:val="17365D"/>
        </w:rPr>
        <w:t>7</w:t>
      </w:r>
      <w:r w:rsidR="003346E4" w:rsidRPr="00D613A6">
        <w:rPr>
          <w:noProof w:val="0"/>
          <w:color w:val="17365D"/>
        </w:rPr>
        <w:t> milj.</w:t>
      </w:r>
      <w:r w:rsidR="00BF4CF1" w:rsidRPr="00D613A6">
        <w:rPr>
          <w:noProof w:val="0"/>
          <w:color w:val="17365D"/>
        </w:rPr>
        <w:t> </w:t>
      </w:r>
      <w:r w:rsidR="00EF7B9A" w:rsidRPr="00D613A6">
        <w:rPr>
          <w:rStyle w:val="Piemrstxt"/>
          <w:rFonts w:ascii="Times New Roman" w:hAnsi="Times New Roman"/>
          <w:i/>
          <w:noProof w:val="0"/>
          <w:color w:val="17365D"/>
          <w:sz w:val="24"/>
        </w:rPr>
        <w:t>euro</w:t>
      </w:r>
      <w:r w:rsidR="00BF4CF1" w:rsidRPr="00D613A6">
        <w:rPr>
          <w:noProof w:val="0"/>
          <w:color w:val="17365D"/>
        </w:rPr>
        <w:t> </w:t>
      </w:r>
      <w:r w:rsidRPr="00D613A6">
        <w:rPr>
          <w:noProof w:val="0"/>
          <w:color w:val="17365D"/>
        </w:rPr>
        <w:t xml:space="preserve">jeb par </w:t>
      </w:r>
      <w:r w:rsidR="005B5EEF" w:rsidRPr="00D613A6">
        <w:rPr>
          <w:noProof w:val="0"/>
          <w:color w:val="17365D"/>
        </w:rPr>
        <w:t>12</w:t>
      </w:r>
      <w:r w:rsidRPr="00D613A6">
        <w:rPr>
          <w:noProof w:val="0"/>
          <w:color w:val="17365D"/>
        </w:rPr>
        <w:t>,</w:t>
      </w:r>
      <w:r w:rsidR="005B5EEF" w:rsidRPr="00D613A6">
        <w:rPr>
          <w:noProof w:val="0"/>
          <w:color w:val="17365D"/>
        </w:rPr>
        <w:t>4</w:t>
      </w:r>
      <w:r w:rsidR="0036142A" w:rsidRPr="00D613A6">
        <w:rPr>
          <w:noProof w:val="0"/>
          <w:color w:val="17365D"/>
        </w:rPr>
        <w:t>3</w:t>
      </w:r>
      <w:r w:rsidR="006A7956" w:rsidRPr="00D613A6">
        <w:rPr>
          <w:noProof w:val="0"/>
          <w:color w:val="17365D"/>
        </w:rPr>
        <w:t> %</w:t>
      </w:r>
      <w:r w:rsidRPr="00D613A6">
        <w:rPr>
          <w:noProof w:val="0"/>
          <w:color w:val="17365D"/>
        </w:rPr>
        <w:t xml:space="preserve"> </w:t>
      </w:r>
      <w:r w:rsidR="00F12BE5" w:rsidRPr="00D613A6">
        <w:rPr>
          <w:noProof w:val="0"/>
          <w:color w:val="17365D"/>
        </w:rPr>
        <w:t>vair</w:t>
      </w:r>
      <w:r w:rsidR="0064622B" w:rsidRPr="00D613A6">
        <w:rPr>
          <w:noProof w:val="0"/>
          <w:color w:val="17365D"/>
        </w:rPr>
        <w:t>āk</w:t>
      </w:r>
      <w:r w:rsidR="00B45557" w:rsidRPr="00D613A6">
        <w:rPr>
          <w:noProof w:val="0"/>
          <w:color w:val="17365D"/>
        </w:rPr>
        <w:t>.</w:t>
      </w:r>
      <w:r w:rsidRPr="00D613A6">
        <w:rPr>
          <w:noProof w:val="0"/>
          <w:color w:val="17365D"/>
        </w:rPr>
        <w:t xml:space="preserve"> </w:t>
      </w:r>
      <w:r w:rsidR="00984D87" w:rsidRPr="00D613A6">
        <w:rPr>
          <w:noProof w:val="0"/>
          <w:color w:val="17365D"/>
        </w:rPr>
        <w:t>IIN</w:t>
      </w:r>
      <w:r w:rsidRPr="00D613A6">
        <w:rPr>
          <w:noProof w:val="0"/>
          <w:color w:val="17365D"/>
        </w:rPr>
        <w:t xml:space="preserve"> gada plāna izpilde ir </w:t>
      </w:r>
      <w:r w:rsidR="002D7172" w:rsidRPr="00D613A6">
        <w:rPr>
          <w:noProof w:val="0"/>
          <w:color w:val="17365D"/>
        </w:rPr>
        <w:t>1</w:t>
      </w:r>
      <w:r w:rsidR="00FF6BD3" w:rsidRPr="00D613A6">
        <w:rPr>
          <w:noProof w:val="0"/>
          <w:color w:val="17365D"/>
        </w:rPr>
        <w:t>06</w:t>
      </w:r>
      <w:r w:rsidR="005D016A" w:rsidRPr="00D613A6">
        <w:rPr>
          <w:noProof w:val="0"/>
          <w:color w:val="17365D"/>
        </w:rPr>
        <w:t>,</w:t>
      </w:r>
      <w:r w:rsidR="0036142A" w:rsidRPr="00D613A6">
        <w:rPr>
          <w:noProof w:val="0"/>
          <w:color w:val="17365D"/>
        </w:rPr>
        <w:t>69</w:t>
      </w:r>
      <w:r w:rsidR="006A7956" w:rsidRPr="00D613A6">
        <w:rPr>
          <w:noProof w:val="0"/>
          <w:color w:val="17365D"/>
        </w:rPr>
        <w:t> %</w:t>
      </w:r>
      <w:r w:rsidR="00B45557" w:rsidRPr="00D613A6">
        <w:rPr>
          <w:noProof w:val="0"/>
          <w:color w:val="17365D"/>
        </w:rPr>
        <w:t>.</w:t>
      </w:r>
      <w:r w:rsidR="00F542A7" w:rsidRPr="00D613A6">
        <w:rPr>
          <w:noProof w:val="0"/>
          <w:color w:val="17365D"/>
        </w:rPr>
        <w:t xml:space="preserve"> </w:t>
      </w:r>
    </w:p>
    <w:p w14:paraId="2E8C5F13" w14:textId="076C9279" w:rsidR="0046765E" w:rsidRPr="00D613A6" w:rsidRDefault="000A70E2" w:rsidP="00F63C69">
      <w:pPr>
        <w:pStyle w:val="Pamatteksts1"/>
        <w:rPr>
          <w:color w:val="17365D"/>
        </w:rPr>
      </w:pPr>
      <w:r w:rsidRPr="00D613A6">
        <w:rPr>
          <w:noProof w:val="0"/>
          <w:color w:val="17365D"/>
        </w:rPr>
        <w:t xml:space="preserve">IIN </w:t>
      </w:r>
      <w:r w:rsidR="006C4516" w:rsidRPr="00D613A6">
        <w:rPr>
          <w:noProof w:val="0"/>
          <w:color w:val="17365D"/>
        </w:rPr>
        <w:t>ieņēmumu</w:t>
      </w:r>
      <w:r w:rsidR="00C8693D" w:rsidRPr="00D613A6">
        <w:rPr>
          <w:noProof w:val="0"/>
          <w:color w:val="17365D"/>
        </w:rPr>
        <w:t xml:space="preserve"> </w:t>
      </w:r>
      <w:r w:rsidR="00F12BE5" w:rsidRPr="00D613A6">
        <w:rPr>
          <w:noProof w:val="0"/>
          <w:color w:val="17365D"/>
        </w:rPr>
        <w:t>paliel</w:t>
      </w:r>
      <w:r w:rsidR="0064622B" w:rsidRPr="00D613A6">
        <w:rPr>
          <w:noProof w:val="0"/>
          <w:color w:val="17365D"/>
        </w:rPr>
        <w:t>inājum</w:t>
      </w:r>
      <w:r w:rsidR="00AD1C37" w:rsidRPr="00D613A6">
        <w:rPr>
          <w:noProof w:val="0"/>
          <w:color w:val="17365D"/>
        </w:rPr>
        <w:t>u</w:t>
      </w:r>
      <w:r w:rsidR="006C4516" w:rsidRPr="00D613A6">
        <w:rPr>
          <w:noProof w:val="0"/>
          <w:color w:val="17365D"/>
        </w:rPr>
        <w:t xml:space="preserve"> 20</w:t>
      </w:r>
      <w:r w:rsidR="0064622B" w:rsidRPr="00D613A6">
        <w:rPr>
          <w:noProof w:val="0"/>
          <w:color w:val="17365D"/>
        </w:rPr>
        <w:t>2</w:t>
      </w:r>
      <w:r w:rsidR="0036142A" w:rsidRPr="00D613A6">
        <w:rPr>
          <w:noProof w:val="0"/>
          <w:color w:val="17365D"/>
        </w:rPr>
        <w:t>4</w:t>
      </w:r>
      <w:r w:rsidR="006C4516" w:rsidRPr="00D613A6">
        <w:rPr>
          <w:noProof w:val="0"/>
          <w:color w:val="17365D"/>
        </w:rPr>
        <w:t>. gadā galvenokārt ietekmēja</w:t>
      </w:r>
      <w:r w:rsidR="007B0E6C" w:rsidRPr="00D613A6">
        <w:rPr>
          <w:noProof w:val="0"/>
          <w:color w:val="17365D"/>
        </w:rPr>
        <w:t xml:space="preserve"> </w:t>
      </w:r>
      <w:r w:rsidR="0020342F" w:rsidRPr="00D613A6">
        <w:rPr>
          <w:color w:val="17365D"/>
        </w:rPr>
        <w:t>strādājošo mē</w:t>
      </w:r>
      <w:r w:rsidR="00336E94" w:rsidRPr="00D613A6">
        <w:rPr>
          <w:color w:val="17365D"/>
        </w:rPr>
        <w:t xml:space="preserve">neša vidējā bruto darba samaksa. </w:t>
      </w:r>
      <w:r w:rsidR="00560490" w:rsidRPr="00D613A6">
        <w:rPr>
          <w:color w:val="17365D"/>
        </w:rPr>
        <w:t>Latvijā 202</w:t>
      </w:r>
      <w:r w:rsidR="001164ED" w:rsidRPr="00D613A6">
        <w:rPr>
          <w:color w:val="17365D"/>
        </w:rPr>
        <w:t>4</w:t>
      </w:r>
      <w:r w:rsidR="00560490" w:rsidRPr="00D613A6">
        <w:rPr>
          <w:color w:val="17365D"/>
        </w:rPr>
        <w:t>.</w:t>
      </w:r>
      <w:r w:rsidR="005A32F4" w:rsidRPr="00D613A6">
        <w:rPr>
          <w:color w:val="17365D"/>
        </w:rPr>
        <w:t> </w:t>
      </w:r>
      <w:r w:rsidR="00560490" w:rsidRPr="00D613A6">
        <w:rPr>
          <w:color w:val="17365D"/>
        </w:rPr>
        <w:t xml:space="preserve">gadā </w:t>
      </w:r>
      <w:r w:rsidR="001164ED" w:rsidRPr="00D613A6">
        <w:rPr>
          <w:color w:val="17365D"/>
        </w:rPr>
        <w:t>mēneša vidējā bruto darba samaksa valstī par pilnas slodzes darbu bija 1685 eiro</w:t>
      </w:r>
      <w:r w:rsidR="00560490" w:rsidRPr="00D613A6">
        <w:rPr>
          <w:color w:val="17365D"/>
        </w:rPr>
        <w:t>, liecina Centrālās statistikas pārvaldes dati, un</w:t>
      </w:r>
      <w:r w:rsidR="00EF692A" w:rsidRPr="00D613A6">
        <w:rPr>
          <w:color w:val="17365D"/>
        </w:rPr>
        <w:t>,</w:t>
      </w:r>
      <w:r w:rsidR="00560490" w:rsidRPr="00D613A6">
        <w:rPr>
          <w:color w:val="17365D"/>
        </w:rPr>
        <w:t xml:space="preserve"> salīdzinot ar 202</w:t>
      </w:r>
      <w:r w:rsidR="001164ED" w:rsidRPr="00D613A6">
        <w:rPr>
          <w:color w:val="17365D"/>
        </w:rPr>
        <w:t>3</w:t>
      </w:r>
      <w:r w:rsidR="00560490" w:rsidRPr="00D613A6">
        <w:rPr>
          <w:color w:val="17365D"/>
        </w:rPr>
        <w:t xml:space="preserve">. gadu, </w:t>
      </w:r>
      <w:r w:rsidR="001164ED" w:rsidRPr="00D613A6">
        <w:rPr>
          <w:color w:val="17365D"/>
        </w:rPr>
        <w:t xml:space="preserve">mēneša vidējais atalgojums palielinājās par 149 eiro jeb 9.70 %. </w:t>
      </w:r>
      <w:r w:rsidR="007232CE" w:rsidRPr="00D613A6">
        <w:rPr>
          <w:color w:val="17365D"/>
        </w:rPr>
        <w:t>Vidējā s</w:t>
      </w:r>
      <w:r w:rsidR="001164ED" w:rsidRPr="00D613A6">
        <w:rPr>
          <w:color w:val="17365D"/>
        </w:rPr>
        <w:t>amaksa par vienu nostrādāto stundu pirms nodokļu nomaksas pieauga līdz 11,38 eiro jeb par 12.1 %.</w:t>
      </w:r>
      <w:r w:rsidR="00560490" w:rsidRPr="00D613A6">
        <w:rPr>
          <w:color w:val="17365D"/>
        </w:rPr>
        <w:t xml:space="preserve"> </w:t>
      </w:r>
      <w:r w:rsidR="0046765E" w:rsidRPr="00D613A6">
        <w:rPr>
          <w:color w:val="17365D"/>
        </w:rPr>
        <w:t xml:space="preserve">Lielākais </w:t>
      </w:r>
      <w:r w:rsidR="0046765E" w:rsidRPr="00D613A6">
        <w:rPr>
          <w:noProof w:val="0"/>
          <w:color w:val="17365D"/>
        </w:rPr>
        <w:t xml:space="preserve">vidējās darba samaksas </w:t>
      </w:r>
      <w:r w:rsidR="0046765E" w:rsidRPr="00D613A6">
        <w:rPr>
          <w:color w:val="17365D"/>
        </w:rPr>
        <w:t xml:space="preserve">pieaugums </w:t>
      </w:r>
      <w:r w:rsidR="0046765E" w:rsidRPr="00D613A6">
        <w:rPr>
          <w:noProof w:val="0"/>
          <w:color w:val="17365D"/>
        </w:rPr>
        <w:t xml:space="preserve">2024. gada sākumā bija vērojams </w:t>
      </w:r>
      <w:r w:rsidR="00F63C69" w:rsidRPr="00D613A6">
        <w:rPr>
          <w:noProof w:val="0"/>
          <w:color w:val="17365D"/>
        </w:rPr>
        <w:t>publiskajā</w:t>
      </w:r>
      <w:r w:rsidR="0046765E" w:rsidRPr="00D613A6">
        <w:rPr>
          <w:noProof w:val="0"/>
          <w:color w:val="17365D"/>
        </w:rPr>
        <w:t xml:space="preserve"> sektorā, kas lielā mērā saistāms ar atalgojuma celšanu izglītības un aizsardzības nozarēs, kā arī janvārī veiktajām piemaksām Iekšlietu ministrijas iestāžu darbiniekiem. Taču 2024. gada pēdējos mēnešos vidējās darba samaksas pieauguma temps </w:t>
      </w:r>
      <w:r w:rsidR="00F63C69" w:rsidRPr="00D613A6">
        <w:rPr>
          <w:noProof w:val="0"/>
          <w:color w:val="17365D"/>
        </w:rPr>
        <w:t>publiskajā</w:t>
      </w:r>
      <w:r w:rsidR="0046765E" w:rsidRPr="00D613A6">
        <w:rPr>
          <w:noProof w:val="0"/>
          <w:color w:val="17365D"/>
        </w:rPr>
        <w:t xml:space="preserve"> sektorā bremzējās un tuvinājās pieaugumam privātajā sektorā.</w:t>
      </w:r>
    </w:p>
    <w:p w14:paraId="7BA26061" w14:textId="1F5E3042" w:rsidR="00E27BA1" w:rsidRPr="00D613A6" w:rsidRDefault="0072147A">
      <w:pPr>
        <w:pStyle w:val="Pamatteksts1"/>
        <w:rPr>
          <w:noProof w:val="0"/>
          <w:color w:val="17365D"/>
        </w:rPr>
      </w:pPr>
      <w:r w:rsidRPr="00D613A6">
        <w:rPr>
          <w:noProof w:val="0"/>
          <w:color w:val="17365D"/>
          <w:u w:val="single"/>
        </w:rPr>
        <w:t>Uzņēmumu ienākuma nodokļa</w:t>
      </w:r>
      <w:r w:rsidRPr="00D613A6">
        <w:rPr>
          <w:noProof w:val="0"/>
          <w:color w:val="17365D"/>
        </w:rPr>
        <w:t xml:space="preserve"> (turpmāk –</w:t>
      </w:r>
      <w:r w:rsidR="0076665A" w:rsidRPr="00D613A6">
        <w:rPr>
          <w:noProof w:val="0"/>
          <w:color w:val="17365D"/>
        </w:rPr>
        <w:t xml:space="preserve"> </w:t>
      </w:r>
      <w:r w:rsidRPr="00D613A6">
        <w:rPr>
          <w:noProof w:val="0"/>
          <w:color w:val="17365D"/>
        </w:rPr>
        <w:t xml:space="preserve">UIN) ieņēmumi valsts budžetā </w:t>
      </w:r>
      <w:r w:rsidR="008F2503" w:rsidRPr="00D613A6">
        <w:rPr>
          <w:noProof w:val="0"/>
          <w:color w:val="17365D"/>
        </w:rPr>
        <w:t>20</w:t>
      </w:r>
      <w:r w:rsidR="006958C5"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5B5EEF" w:rsidRPr="00D613A6">
        <w:rPr>
          <w:noProof w:val="0"/>
          <w:color w:val="17365D"/>
        </w:rPr>
        <w:t>719</w:t>
      </w:r>
      <w:r w:rsidRPr="00D613A6">
        <w:rPr>
          <w:noProof w:val="0"/>
          <w:color w:val="17365D"/>
        </w:rPr>
        <w:t>,</w:t>
      </w:r>
      <w:r w:rsidR="005B5EEF" w:rsidRPr="00D613A6">
        <w:rPr>
          <w:noProof w:val="0"/>
          <w:color w:val="17365D"/>
        </w:rPr>
        <w:t>4</w:t>
      </w:r>
      <w:r w:rsidRPr="00D613A6">
        <w:rPr>
          <w:noProof w:val="0"/>
          <w:color w:val="17365D"/>
        </w:rPr>
        <w:t> milj</w:t>
      </w:r>
      <w:r w:rsidR="00C102EC"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AA0735"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6958C5" w:rsidRPr="00D613A6">
        <w:rPr>
          <w:noProof w:val="0"/>
          <w:color w:val="17365D"/>
        </w:rPr>
        <w:t>palieli</w:t>
      </w:r>
      <w:r w:rsidR="00530B6A" w:rsidRPr="00D613A6">
        <w:rPr>
          <w:noProof w:val="0"/>
          <w:color w:val="17365D"/>
        </w:rPr>
        <w:t>nāj</w:t>
      </w:r>
      <w:r w:rsidR="00D971FB" w:rsidRPr="00D613A6">
        <w:rPr>
          <w:noProof w:val="0"/>
          <w:color w:val="17365D"/>
        </w:rPr>
        <w:t>ā</w:t>
      </w:r>
      <w:r w:rsidR="00530B6A" w:rsidRPr="00D613A6">
        <w:rPr>
          <w:noProof w:val="0"/>
          <w:color w:val="17365D"/>
        </w:rPr>
        <w:t>s</w:t>
      </w:r>
      <w:r w:rsidR="0008618A" w:rsidRPr="00D613A6">
        <w:rPr>
          <w:noProof w:val="0"/>
          <w:color w:val="17365D"/>
        </w:rPr>
        <w:t xml:space="preserve"> </w:t>
      </w:r>
      <w:r w:rsidRPr="00D613A6">
        <w:rPr>
          <w:noProof w:val="0"/>
          <w:color w:val="17365D"/>
        </w:rPr>
        <w:t xml:space="preserve">par </w:t>
      </w:r>
      <w:r w:rsidR="002E280E" w:rsidRPr="00D613A6">
        <w:rPr>
          <w:noProof w:val="0"/>
          <w:color w:val="17365D"/>
        </w:rPr>
        <w:t>1</w:t>
      </w:r>
      <w:r w:rsidR="005B5EEF" w:rsidRPr="00D613A6">
        <w:rPr>
          <w:noProof w:val="0"/>
          <w:color w:val="17365D"/>
        </w:rPr>
        <w:t>74</w:t>
      </w:r>
      <w:r w:rsidRPr="00D613A6">
        <w:rPr>
          <w:noProof w:val="0"/>
          <w:color w:val="17365D"/>
        </w:rPr>
        <w:t>,</w:t>
      </w:r>
      <w:r w:rsidR="005B5EEF" w:rsidRPr="00D613A6">
        <w:rPr>
          <w:noProof w:val="0"/>
          <w:color w:val="17365D"/>
        </w:rPr>
        <w:t>6</w:t>
      </w:r>
      <w:r w:rsidR="00D30EB7" w:rsidRPr="00D613A6">
        <w:rPr>
          <w:noProof w:val="0"/>
          <w:color w:val="17365D"/>
        </w:rPr>
        <w:t> milj.</w:t>
      </w:r>
      <w:r w:rsidR="00C102EC" w:rsidRPr="00D613A6">
        <w:rPr>
          <w:noProof w:val="0"/>
          <w:color w:val="17365D"/>
        </w:rPr>
        <w:t> </w:t>
      </w:r>
      <w:r w:rsidR="00EF7B9A" w:rsidRPr="00D613A6">
        <w:rPr>
          <w:rStyle w:val="Piemrstxt"/>
          <w:rFonts w:ascii="Times New Roman" w:hAnsi="Times New Roman"/>
          <w:i/>
          <w:noProof w:val="0"/>
          <w:color w:val="17365D"/>
          <w:sz w:val="24"/>
        </w:rPr>
        <w:t>euro</w:t>
      </w:r>
      <w:r w:rsidR="00C263FD" w:rsidRPr="00D613A6">
        <w:rPr>
          <w:noProof w:val="0"/>
          <w:color w:val="17365D"/>
        </w:rPr>
        <w:t xml:space="preserve"> </w:t>
      </w:r>
      <w:r w:rsidRPr="00D613A6">
        <w:rPr>
          <w:noProof w:val="0"/>
          <w:color w:val="17365D"/>
        </w:rPr>
        <w:t xml:space="preserve">jeb </w:t>
      </w:r>
      <w:r w:rsidR="005B5EEF" w:rsidRPr="00D613A6">
        <w:rPr>
          <w:noProof w:val="0"/>
          <w:color w:val="17365D"/>
        </w:rPr>
        <w:t>32</w:t>
      </w:r>
      <w:r w:rsidRPr="00D613A6">
        <w:rPr>
          <w:noProof w:val="0"/>
          <w:color w:val="17365D"/>
        </w:rPr>
        <w:t>,</w:t>
      </w:r>
      <w:r w:rsidR="0046765E" w:rsidRPr="00D613A6">
        <w:rPr>
          <w:noProof w:val="0"/>
          <w:color w:val="17365D"/>
        </w:rPr>
        <w:t>05</w:t>
      </w:r>
      <w:r w:rsidR="006A7956" w:rsidRPr="00D613A6">
        <w:rPr>
          <w:noProof w:val="0"/>
          <w:color w:val="17365D"/>
        </w:rPr>
        <w:t> %</w:t>
      </w:r>
      <w:r w:rsidR="0008618A" w:rsidRPr="00D613A6">
        <w:rPr>
          <w:noProof w:val="0"/>
          <w:color w:val="17365D"/>
        </w:rPr>
        <w:t xml:space="preserve">. </w:t>
      </w:r>
      <w:r w:rsidRPr="00D613A6">
        <w:rPr>
          <w:noProof w:val="0"/>
          <w:color w:val="17365D"/>
        </w:rPr>
        <w:t xml:space="preserve">UIN gada plāna izpilde ir </w:t>
      </w:r>
      <w:r w:rsidR="00AA0735" w:rsidRPr="00D613A6">
        <w:rPr>
          <w:noProof w:val="0"/>
          <w:color w:val="17365D"/>
        </w:rPr>
        <w:t>1</w:t>
      </w:r>
      <w:r w:rsidR="005B5EEF" w:rsidRPr="00D613A6">
        <w:rPr>
          <w:noProof w:val="0"/>
          <w:color w:val="17365D"/>
        </w:rPr>
        <w:t>03</w:t>
      </w:r>
      <w:r w:rsidRPr="00D613A6">
        <w:rPr>
          <w:noProof w:val="0"/>
          <w:color w:val="17365D"/>
        </w:rPr>
        <w:t>,</w:t>
      </w:r>
      <w:r w:rsidR="0046765E" w:rsidRPr="00D613A6">
        <w:rPr>
          <w:noProof w:val="0"/>
          <w:color w:val="17365D"/>
        </w:rPr>
        <w:t>09</w:t>
      </w:r>
      <w:r w:rsidR="006A7956" w:rsidRPr="00D613A6">
        <w:rPr>
          <w:noProof w:val="0"/>
          <w:color w:val="17365D"/>
        </w:rPr>
        <w:t> %</w:t>
      </w:r>
      <w:r w:rsidR="0008618A" w:rsidRPr="00D613A6">
        <w:rPr>
          <w:noProof w:val="0"/>
          <w:color w:val="17365D"/>
        </w:rPr>
        <w:t>.</w:t>
      </w:r>
    </w:p>
    <w:p w14:paraId="0B1D5918" w14:textId="7CCCED71" w:rsidR="005732B7" w:rsidRPr="00D613A6" w:rsidRDefault="0078159B" w:rsidP="0071616E">
      <w:pPr>
        <w:spacing w:line="259" w:lineRule="auto"/>
        <w:rPr>
          <w:noProof/>
          <w:color w:val="17365D"/>
        </w:rPr>
      </w:pPr>
      <w:r w:rsidRPr="00D613A6">
        <w:rPr>
          <w:noProof/>
          <w:color w:val="17365D"/>
        </w:rPr>
        <w:t xml:space="preserve">UIN </w:t>
      </w:r>
      <w:r w:rsidR="0046765E" w:rsidRPr="00D613A6">
        <w:rPr>
          <w:noProof/>
          <w:color w:val="17365D"/>
        </w:rPr>
        <w:t>straujais kāpums 2024. gadā skaidrojams ar izmaiņām UIN likumā. No 2024. gada 1. janvāra kredītiestādēm un patērētāju kreditēšanas pakalpojumu sniedzējiem ir pienākums taksācijas gadā veikt nodokļa piemaksu 20% apmērā, ko aprēķina, izmantojot pirmstaksācijas gada peļņu un ņemot vērā taksācijas gadā sadalīto peļņu un par to samaksātā nodokļa apmēru. Minēto izmaiņu rezultātā atbilstoši Finanšu ministrijas novērtējumam budžetā papildus saņemti 138 miljoni eiro, kas bija tuvu plānotajam apmēram.</w:t>
      </w:r>
    </w:p>
    <w:p w14:paraId="6C53590C" w14:textId="687CB3E3" w:rsidR="006B35AD" w:rsidRPr="00D613A6" w:rsidRDefault="006B35AD" w:rsidP="00865CD2">
      <w:pPr>
        <w:spacing w:after="0" w:line="259" w:lineRule="auto"/>
        <w:rPr>
          <w:rFonts w:eastAsia="Calibri"/>
          <w:color w:val="17365D"/>
        </w:rPr>
      </w:pPr>
      <w:r w:rsidRPr="00D613A6">
        <w:rPr>
          <w:color w:val="17365D"/>
          <w:u w:val="single"/>
        </w:rPr>
        <w:t>Transportlīdzekļa ekspluatācijas nodokļa</w:t>
      </w:r>
      <w:r w:rsidRPr="00D613A6">
        <w:rPr>
          <w:color w:val="17365D"/>
        </w:rPr>
        <w:t xml:space="preserve"> ieņēmumi 20</w:t>
      </w:r>
      <w:r w:rsidR="00582321" w:rsidRPr="00D613A6">
        <w:rPr>
          <w:color w:val="17365D"/>
        </w:rPr>
        <w:t>2</w:t>
      </w:r>
      <w:r w:rsidR="000B6445" w:rsidRPr="00D613A6">
        <w:rPr>
          <w:color w:val="17365D"/>
        </w:rPr>
        <w:t>4</w:t>
      </w:r>
      <w:r w:rsidRPr="00D613A6">
        <w:rPr>
          <w:color w:val="17365D"/>
        </w:rPr>
        <w:t xml:space="preserve">. gadā ir </w:t>
      </w:r>
      <w:r w:rsidR="00C719E5" w:rsidRPr="00D613A6">
        <w:rPr>
          <w:color w:val="17365D"/>
        </w:rPr>
        <w:t>10</w:t>
      </w:r>
      <w:r w:rsidR="00F27A14" w:rsidRPr="00D613A6">
        <w:rPr>
          <w:color w:val="17365D"/>
        </w:rPr>
        <w:t>2</w:t>
      </w:r>
      <w:r w:rsidRPr="00D613A6">
        <w:rPr>
          <w:color w:val="17365D"/>
        </w:rPr>
        <w:t>,</w:t>
      </w:r>
      <w:r w:rsidR="000B6445" w:rsidRPr="00D613A6">
        <w:rPr>
          <w:color w:val="17365D"/>
        </w:rPr>
        <w:t>3</w:t>
      </w:r>
      <w:r w:rsidRPr="00D613A6">
        <w:rPr>
          <w:color w:val="17365D"/>
        </w:rPr>
        <w:t> milj. </w:t>
      </w:r>
      <w:r w:rsidRPr="00D613A6">
        <w:rPr>
          <w:i/>
          <w:color w:val="17365D"/>
        </w:rPr>
        <w:t>euro</w:t>
      </w:r>
      <w:r w:rsidR="00A976C0" w:rsidRPr="00D613A6">
        <w:rPr>
          <w:i/>
          <w:color w:val="17365D"/>
        </w:rPr>
        <w:t xml:space="preserve"> </w:t>
      </w:r>
      <w:r w:rsidR="00A976C0" w:rsidRPr="00D613A6">
        <w:rPr>
          <w:color w:val="17365D"/>
        </w:rPr>
        <w:t>vērtībā</w:t>
      </w:r>
      <w:r w:rsidRPr="00D613A6">
        <w:rPr>
          <w:color w:val="17365D"/>
        </w:rPr>
        <w:t>, kas salīdzinājumā ar 20</w:t>
      </w:r>
      <w:r w:rsidR="00C719E5" w:rsidRPr="00D613A6">
        <w:rPr>
          <w:color w:val="17365D"/>
        </w:rPr>
        <w:t>2</w:t>
      </w:r>
      <w:r w:rsidR="000B6445" w:rsidRPr="00D613A6">
        <w:rPr>
          <w:color w:val="17365D"/>
        </w:rPr>
        <w:t>3</w:t>
      </w:r>
      <w:r w:rsidRPr="00D613A6">
        <w:rPr>
          <w:color w:val="17365D"/>
        </w:rPr>
        <w:t xml:space="preserve">. gadu </w:t>
      </w:r>
      <w:r w:rsidR="000B6445" w:rsidRPr="00D613A6">
        <w:rPr>
          <w:color w:val="17365D"/>
        </w:rPr>
        <w:t>samazinājās</w:t>
      </w:r>
      <w:r w:rsidRPr="00D613A6">
        <w:rPr>
          <w:color w:val="17365D"/>
        </w:rPr>
        <w:t xml:space="preserve"> par </w:t>
      </w:r>
      <w:r w:rsidR="000B6445" w:rsidRPr="00D613A6">
        <w:rPr>
          <w:color w:val="17365D"/>
        </w:rPr>
        <w:t>0</w:t>
      </w:r>
      <w:r w:rsidRPr="00D613A6">
        <w:rPr>
          <w:color w:val="17365D"/>
        </w:rPr>
        <w:t>,</w:t>
      </w:r>
      <w:r w:rsidR="000B6445" w:rsidRPr="00D613A6">
        <w:rPr>
          <w:color w:val="17365D"/>
        </w:rPr>
        <w:t>2</w:t>
      </w:r>
      <w:r w:rsidRPr="00D613A6">
        <w:rPr>
          <w:color w:val="17365D"/>
        </w:rPr>
        <w:t> milj. </w:t>
      </w:r>
      <w:r w:rsidRPr="00D613A6">
        <w:rPr>
          <w:i/>
          <w:color w:val="17365D"/>
        </w:rPr>
        <w:t>euro</w:t>
      </w:r>
      <w:r w:rsidRPr="00D613A6">
        <w:rPr>
          <w:color w:val="17365D"/>
        </w:rPr>
        <w:t xml:space="preserve"> jeb </w:t>
      </w:r>
      <w:r w:rsidR="000B6445" w:rsidRPr="00D613A6">
        <w:rPr>
          <w:color w:val="17365D"/>
        </w:rPr>
        <w:t>0</w:t>
      </w:r>
      <w:r w:rsidRPr="00D613A6">
        <w:rPr>
          <w:color w:val="17365D"/>
        </w:rPr>
        <w:t>,</w:t>
      </w:r>
      <w:r w:rsidR="000B6445" w:rsidRPr="00D613A6">
        <w:rPr>
          <w:color w:val="17365D"/>
        </w:rPr>
        <w:t>21</w:t>
      </w:r>
      <w:r w:rsidRPr="00D613A6">
        <w:rPr>
          <w:color w:val="17365D"/>
        </w:rPr>
        <w:t> %</w:t>
      </w:r>
      <w:r w:rsidR="00984D87" w:rsidRPr="00D613A6">
        <w:rPr>
          <w:color w:val="17365D"/>
        </w:rPr>
        <w:t>,</w:t>
      </w:r>
      <w:r w:rsidRPr="00D613A6">
        <w:rPr>
          <w:color w:val="17365D"/>
        </w:rPr>
        <w:t xml:space="preserve"> un gada plāna izpilde ir </w:t>
      </w:r>
      <w:r w:rsidR="000B6445" w:rsidRPr="00D613A6">
        <w:rPr>
          <w:color w:val="17365D"/>
        </w:rPr>
        <w:t>97</w:t>
      </w:r>
      <w:r w:rsidR="00867F03" w:rsidRPr="00D613A6">
        <w:rPr>
          <w:color w:val="17365D"/>
        </w:rPr>
        <w:t>,</w:t>
      </w:r>
      <w:r w:rsidR="000B6445" w:rsidRPr="00D613A6">
        <w:rPr>
          <w:color w:val="17365D"/>
        </w:rPr>
        <w:t>17</w:t>
      </w:r>
      <w:r w:rsidRPr="00D613A6">
        <w:rPr>
          <w:color w:val="17365D"/>
        </w:rPr>
        <w:t> %.</w:t>
      </w:r>
      <w:r w:rsidRPr="00D613A6">
        <w:rPr>
          <w:rFonts w:eastAsia="Calibri"/>
          <w:color w:val="17365D"/>
        </w:rPr>
        <w:t xml:space="preserve"> </w:t>
      </w:r>
    </w:p>
    <w:p w14:paraId="78F814A3" w14:textId="2A8381AC" w:rsidR="00A56C99" w:rsidRPr="00D613A6" w:rsidRDefault="001E7FBC" w:rsidP="00A976C0">
      <w:pPr>
        <w:spacing w:line="259" w:lineRule="auto"/>
        <w:rPr>
          <w:rFonts w:eastAsia="Times"/>
          <w:color w:val="17365D"/>
        </w:rPr>
      </w:pPr>
      <w:r w:rsidRPr="00D613A6">
        <w:rPr>
          <w:rFonts w:eastAsia="Times"/>
          <w:color w:val="17365D"/>
        </w:rPr>
        <w:t>Saskaņā ar Ceļu satiksmes drošības direkcijas datiem, t</w:t>
      </w:r>
      <w:r w:rsidR="004C2C7D" w:rsidRPr="00D613A6">
        <w:rPr>
          <w:rFonts w:eastAsia="Times"/>
          <w:color w:val="17365D"/>
        </w:rPr>
        <w:t xml:space="preserve">ransportlīdzekļa ekspluatācijas nodokļa ieņēmumu </w:t>
      </w:r>
      <w:r w:rsidR="009613F5" w:rsidRPr="00D613A6">
        <w:rPr>
          <w:rFonts w:eastAsia="Times"/>
          <w:color w:val="17365D"/>
        </w:rPr>
        <w:t>samazinājumu</w:t>
      </w:r>
      <w:r w:rsidR="004C2C7D" w:rsidRPr="00D613A6">
        <w:rPr>
          <w:rFonts w:eastAsia="Times"/>
          <w:color w:val="17365D"/>
        </w:rPr>
        <w:t xml:space="preserve"> galvenokārt ietekmēja</w:t>
      </w:r>
      <w:r w:rsidR="00B608E0" w:rsidRPr="00D613A6">
        <w:rPr>
          <w:rFonts w:eastAsia="Times"/>
          <w:color w:val="17365D"/>
        </w:rPr>
        <w:t xml:space="preserve"> </w:t>
      </w:r>
      <w:r w:rsidR="009613F5" w:rsidRPr="00D613A6">
        <w:rPr>
          <w:rFonts w:eastAsia="Times"/>
          <w:color w:val="17365D"/>
        </w:rPr>
        <w:t>transportlīdzekļu pirmreizējās reģistrācijas skaita samazinājums par 7,5</w:t>
      </w:r>
      <w:r w:rsidRPr="00D613A6">
        <w:rPr>
          <w:rFonts w:eastAsia="Times"/>
          <w:color w:val="17365D"/>
        </w:rPr>
        <w:t xml:space="preserve"> </w:t>
      </w:r>
      <w:r w:rsidR="009613F5" w:rsidRPr="00D613A6">
        <w:rPr>
          <w:rFonts w:eastAsia="Times"/>
          <w:color w:val="17365D"/>
        </w:rPr>
        <w:t>%.</w:t>
      </w:r>
    </w:p>
    <w:p w14:paraId="67D4F298" w14:textId="5A45EADF" w:rsidR="00AC26BE" w:rsidRPr="00D613A6" w:rsidRDefault="00144EA2" w:rsidP="006F58BA">
      <w:pPr>
        <w:pStyle w:val="Pamatteksts1"/>
        <w:spacing w:after="0"/>
        <w:rPr>
          <w:rStyle w:val="Piemrstxt"/>
          <w:rFonts w:ascii="Times New Roman" w:hAnsi="Times New Roman"/>
          <w:noProof w:val="0"/>
          <w:color w:val="17365D"/>
          <w:sz w:val="24"/>
        </w:rPr>
      </w:pPr>
      <w:r w:rsidRPr="00D613A6">
        <w:rPr>
          <w:b/>
          <w:color w:val="17365D"/>
          <w:u w:val="single"/>
        </w:rPr>
        <mc:AlternateContent>
          <mc:Choice Requires="wps">
            <w:drawing>
              <wp:anchor distT="0" distB="0" distL="114300" distR="114300" simplePos="0" relativeHeight="251666944" behindDoc="1" locked="0" layoutInCell="1" allowOverlap="1" wp14:anchorId="22064B23" wp14:editId="00A91C71">
                <wp:simplePos x="0" y="0"/>
                <wp:positionH relativeFrom="column">
                  <wp:posOffset>4259580</wp:posOffset>
                </wp:positionH>
                <wp:positionV relativeFrom="paragraph">
                  <wp:posOffset>77631</wp:posOffset>
                </wp:positionV>
                <wp:extent cx="1680845" cy="960755"/>
                <wp:effectExtent l="0" t="0" r="14605" b="10795"/>
                <wp:wrapTight wrapText="bothSides">
                  <wp:wrapPolygon edited="0">
                    <wp:start x="0" y="0"/>
                    <wp:lineTo x="0" y="21414"/>
                    <wp:lineTo x="21543" y="21414"/>
                    <wp:lineTo x="21543" y="0"/>
                    <wp:lineTo x="0" y="0"/>
                  </wp:wrapPolygon>
                </wp:wrapTight>
                <wp:docPr id="13" name="Rectangle 13"/>
                <wp:cNvGraphicFramePr/>
                <a:graphic xmlns:a="http://schemas.openxmlformats.org/drawingml/2006/main">
                  <a:graphicData uri="http://schemas.microsoft.com/office/word/2010/wordprocessingShape">
                    <wps:wsp>
                      <wps:cNvSpPr/>
                      <wps:spPr>
                        <a:xfrm>
                          <a:off x="0" y="0"/>
                          <a:ext cx="1680845" cy="960755"/>
                        </a:xfrm>
                        <a:prstGeom prst="rect">
                          <a:avLst/>
                        </a:prstGeom>
                        <a:solidFill>
                          <a:sysClr val="window" lastClr="FFFFFF"/>
                        </a:solidFill>
                        <a:ln w="25400" cap="flat" cmpd="sng" algn="ctr">
                          <a:solidFill>
                            <a:srgbClr val="17365D"/>
                          </a:solidFill>
                          <a:prstDash val="sysDot"/>
                        </a:ln>
                        <a:effectLst/>
                      </wps:spPr>
                      <wps:txbx>
                        <w:txbxContent>
                          <w:p w14:paraId="4020271E" w14:textId="2400DE74" w:rsidR="000A5BFC" w:rsidRPr="00AC4394" w:rsidRDefault="000A5BFC" w:rsidP="004B0C3A">
                            <w:pPr>
                              <w:ind w:firstLine="0"/>
                              <w:jc w:val="center"/>
                              <w:rPr>
                                <w:color w:val="17365D"/>
                              </w:rPr>
                            </w:pPr>
                            <w:r w:rsidRPr="00AC4394">
                              <w:rPr>
                                <w:color w:val="17365D"/>
                              </w:rPr>
                              <w:t>Sociālās apdrošināšanas iemaksas –</w:t>
                            </w:r>
                          </w:p>
                          <w:p w14:paraId="2C896DB6" w14:textId="3E0A580B" w:rsidR="000A5BFC" w:rsidRPr="00AC4394" w:rsidRDefault="000A5BFC" w:rsidP="004B0C3A">
                            <w:pPr>
                              <w:ind w:firstLine="0"/>
                              <w:jc w:val="center"/>
                              <w:rPr>
                                <w:color w:val="17365D"/>
                              </w:rPr>
                            </w:pPr>
                            <w:r>
                              <w:rPr>
                                <w:b/>
                                <w:color w:val="17365D"/>
                              </w:rPr>
                              <w:t>4 398 196 373</w:t>
                            </w:r>
                            <w:r w:rsidRPr="00CF142F">
                              <w:rPr>
                                <w:b/>
                                <w:color w:val="17365D"/>
                              </w:rPr>
                              <w:t xml:space="preserve"> </w:t>
                            </w:r>
                            <w:r w:rsidRPr="00AC4394">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64B23" id="Rectangle 13" o:spid="_x0000_s1029" style="position:absolute;left:0;text-align:left;margin-left:335.4pt;margin-top:6.1pt;width:132.35pt;height:75.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" fillcolor="window" strokecolor="#17365d" strokeweight="2pt">
                <v:stroke dashstyle="1 1"/>
                <v:textbox>
                  <w:txbxContent>
                    <w:p w14:paraId="4020271E" w14:textId="2400DE74" w:rsidR="000A5BFC" w:rsidRPr="00AC4394" w:rsidRDefault="000A5BFC" w:rsidP="004B0C3A">
                      <w:pPr>
                        <w:ind w:firstLine="0"/>
                        <w:jc w:val="center"/>
                        <w:rPr>
                          <w:color w:val="17365D"/>
                        </w:rPr>
                      </w:pPr>
                      <w:r w:rsidRPr="00AC4394">
                        <w:rPr>
                          <w:color w:val="17365D"/>
                        </w:rPr>
                        <w:t>Sociālās apdrošināšanas iemaksas –</w:t>
                      </w:r>
                    </w:p>
                    <w:p w14:paraId="2C896DB6" w14:textId="3E0A580B" w:rsidR="000A5BFC" w:rsidRPr="00AC4394" w:rsidRDefault="000A5BFC" w:rsidP="004B0C3A">
                      <w:pPr>
                        <w:ind w:firstLine="0"/>
                        <w:jc w:val="center"/>
                        <w:rPr>
                          <w:color w:val="17365D"/>
                        </w:rPr>
                      </w:pPr>
                      <w:r>
                        <w:rPr>
                          <w:b/>
                          <w:color w:val="17365D"/>
                        </w:rPr>
                        <w:t>4 398 196 373</w:t>
                      </w:r>
                      <w:r w:rsidRPr="00CF142F">
                        <w:rPr>
                          <w:b/>
                          <w:color w:val="17365D"/>
                        </w:rPr>
                        <w:t xml:space="preserve"> </w:t>
                      </w:r>
                      <w:r w:rsidRPr="00AC4394">
                        <w:rPr>
                          <w:i/>
                          <w:color w:val="17365D"/>
                        </w:rPr>
                        <w:t>euro</w:t>
                      </w:r>
                    </w:p>
                  </w:txbxContent>
                </v:textbox>
                <w10:wrap type="tight"/>
              </v:rect>
            </w:pict>
          </mc:Fallback>
        </mc:AlternateContent>
      </w:r>
      <w:r w:rsidR="00B86927" w:rsidRPr="00D613A6">
        <w:rPr>
          <w:b/>
          <w:color w:val="17365D"/>
          <w:szCs w:val="20"/>
          <w:u w:val="single"/>
          <w:lang w:eastAsia="en-US"/>
        </w:rPr>
        <w:t>Valsts sociālās apdrošināšanas</w:t>
      </w:r>
      <w:r w:rsidR="0014695B" w:rsidRPr="00D613A6">
        <w:rPr>
          <w:b/>
          <w:color w:val="17365D"/>
          <w:szCs w:val="20"/>
          <w:u w:val="single"/>
          <w:lang w:eastAsia="en-US"/>
        </w:rPr>
        <w:t xml:space="preserve"> obligātās</w:t>
      </w:r>
      <w:r w:rsidR="00B86927" w:rsidRPr="00D613A6">
        <w:rPr>
          <w:b/>
          <w:color w:val="17365D"/>
          <w:szCs w:val="20"/>
          <w:u w:val="single"/>
          <w:lang w:eastAsia="en-US"/>
        </w:rPr>
        <w:t xml:space="preserve"> </w:t>
      </w:r>
      <w:r w:rsidR="008D3A60" w:rsidRPr="00D613A6">
        <w:rPr>
          <w:b/>
          <w:noProof w:val="0"/>
          <w:color w:val="17365D"/>
          <w:u w:val="single"/>
        </w:rPr>
        <w:t>iemaksas</w:t>
      </w:r>
      <w:r w:rsidR="008D3A60" w:rsidRPr="00D613A6">
        <w:rPr>
          <w:noProof w:val="0"/>
          <w:color w:val="17365D"/>
        </w:rPr>
        <w:t xml:space="preserve"> </w:t>
      </w:r>
      <w:r w:rsidR="00F46CD6" w:rsidRPr="00D613A6">
        <w:rPr>
          <w:noProof w:val="0"/>
          <w:color w:val="17365D"/>
        </w:rPr>
        <w:t>2024</w:t>
      </w:r>
      <w:r w:rsidR="00AC26BE" w:rsidRPr="00D613A6">
        <w:rPr>
          <w:noProof w:val="0"/>
          <w:color w:val="17365D"/>
        </w:rPr>
        <w:t>.</w:t>
      </w:r>
      <w:r w:rsidR="0014695B" w:rsidRPr="00D613A6">
        <w:rPr>
          <w:noProof w:val="0"/>
          <w:color w:val="17365D"/>
        </w:rPr>
        <w:t> </w:t>
      </w:r>
      <w:r w:rsidR="00AC26BE" w:rsidRPr="00D613A6">
        <w:rPr>
          <w:noProof w:val="0"/>
          <w:color w:val="17365D"/>
        </w:rPr>
        <w:t>gadā ir  4 </w:t>
      </w:r>
      <w:r w:rsidR="00F46CD6" w:rsidRPr="00D613A6">
        <w:rPr>
          <w:noProof w:val="0"/>
          <w:color w:val="17365D"/>
        </w:rPr>
        <w:t>398,2</w:t>
      </w:r>
      <w:r w:rsidR="00AC26BE" w:rsidRPr="00D613A6">
        <w:rPr>
          <w:noProof w:val="0"/>
          <w:color w:val="17365D"/>
        </w:rPr>
        <w:t xml:space="preserve"> milj. </w:t>
      </w:r>
      <w:r w:rsidR="00AC26BE" w:rsidRPr="00D613A6">
        <w:rPr>
          <w:rStyle w:val="Piemrstxt"/>
          <w:rFonts w:ascii="Times New Roman" w:hAnsi="Times New Roman"/>
          <w:i/>
          <w:noProof w:val="0"/>
          <w:color w:val="17365D"/>
          <w:sz w:val="24"/>
        </w:rPr>
        <w:t xml:space="preserve">euro </w:t>
      </w:r>
      <w:r w:rsidR="00AC26BE" w:rsidRPr="00D613A6">
        <w:rPr>
          <w:rStyle w:val="Piemrstxt"/>
          <w:rFonts w:ascii="Times New Roman" w:hAnsi="Times New Roman"/>
          <w:noProof w:val="0"/>
          <w:color w:val="17365D"/>
          <w:sz w:val="24"/>
        </w:rPr>
        <w:t>vērtībā,</w:t>
      </w:r>
      <w:r w:rsidR="00AC26BE" w:rsidRPr="00D613A6">
        <w:rPr>
          <w:color w:val="17365D"/>
        </w:rPr>
        <w:t xml:space="preserve"> </w:t>
      </w:r>
      <w:r w:rsidR="00F46CD6" w:rsidRPr="00D613A6">
        <w:rPr>
          <w:color w:val="17365D"/>
        </w:rPr>
        <w:t>kas salīdzinājumā ar 2023</w:t>
      </w:r>
      <w:r w:rsidR="00AC26BE" w:rsidRPr="00D613A6">
        <w:rPr>
          <w:color w:val="17365D"/>
        </w:rPr>
        <w:t>. gadu palielinājās par 3</w:t>
      </w:r>
      <w:r w:rsidR="00F46CD6" w:rsidRPr="00D613A6">
        <w:rPr>
          <w:color w:val="17365D"/>
        </w:rPr>
        <w:t>74</w:t>
      </w:r>
      <w:r w:rsidR="00AC26BE" w:rsidRPr="00D613A6">
        <w:rPr>
          <w:color w:val="17365D"/>
        </w:rPr>
        <w:t>,</w:t>
      </w:r>
      <w:r w:rsidR="00F46CD6" w:rsidRPr="00D613A6">
        <w:rPr>
          <w:color w:val="17365D"/>
        </w:rPr>
        <w:t>7</w:t>
      </w:r>
      <w:r w:rsidR="00AC26BE" w:rsidRPr="00D613A6">
        <w:rPr>
          <w:color w:val="17365D"/>
        </w:rPr>
        <w:t> milj. </w:t>
      </w:r>
      <w:r w:rsidR="00AC26BE" w:rsidRPr="00D613A6">
        <w:rPr>
          <w:i/>
          <w:color w:val="17365D"/>
        </w:rPr>
        <w:t>euro</w:t>
      </w:r>
      <w:r w:rsidR="00AC26BE" w:rsidRPr="00D613A6">
        <w:rPr>
          <w:color w:val="17365D"/>
        </w:rPr>
        <w:t xml:space="preserve"> jeb 9,</w:t>
      </w:r>
      <w:r w:rsidR="00F46CD6" w:rsidRPr="00D613A6">
        <w:rPr>
          <w:color w:val="17365D"/>
        </w:rPr>
        <w:t>31</w:t>
      </w:r>
      <w:r w:rsidR="00AC26BE" w:rsidRPr="00D613A6">
        <w:rPr>
          <w:color w:val="17365D"/>
        </w:rPr>
        <w:t xml:space="preserve"> %, un gada plāna izpilde ir </w:t>
      </w:r>
      <w:r w:rsidR="00F46CD6" w:rsidRPr="00D613A6">
        <w:rPr>
          <w:color w:val="17365D"/>
        </w:rPr>
        <w:t>96</w:t>
      </w:r>
      <w:r w:rsidR="00AC26BE" w:rsidRPr="00D613A6">
        <w:rPr>
          <w:color w:val="17365D"/>
        </w:rPr>
        <w:t>,</w:t>
      </w:r>
      <w:r w:rsidR="00F46CD6" w:rsidRPr="00D613A6">
        <w:rPr>
          <w:color w:val="17365D"/>
        </w:rPr>
        <w:t>78</w:t>
      </w:r>
      <w:r w:rsidR="00AC26BE" w:rsidRPr="00D613A6">
        <w:rPr>
          <w:color w:val="17365D"/>
        </w:rPr>
        <w:t> %.</w:t>
      </w:r>
    </w:p>
    <w:p w14:paraId="60AA1CD4" w14:textId="4C63111B" w:rsidR="00EE346D" w:rsidRPr="00D613A6" w:rsidRDefault="008F2503" w:rsidP="00D75D93">
      <w:pPr>
        <w:pStyle w:val="Pamatteksts1"/>
        <w:rPr>
          <w:noProof w:val="0"/>
          <w:color w:val="17365D"/>
        </w:rPr>
      </w:pPr>
      <w:r w:rsidRPr="00D613A6">
        <w:rPr>
          <w:noProof w:val="0"/>
          <w:color w:val="17365D"/>
        </w:rPr>
        <w:t>20</w:t>
      </w:r>
      <w:r w:rsidR="006C790A" w:rsidRPr="00D613A6">
        <w:rPr>
          <w:noProof w:val="0"/>
          <w:color w:val="17365D"/>
        </w:rPr>
        <w:t>2</w:t>
      </w:r>
      <w:r w:rsidR="000D0D42" w:rsidRPr="00D613A6">
        <w:rPr>
          <w:noProof w:val="0"/>
          <w:color w:val="17365D"/>
        </w:rPr>
        <w:t>4</w:t>
      </w:r>
      <w:r w:rsidRPr="00D613A6">
        <w:rPr>
          <w:noProof w:val="0"/>
          <w:color w:val="17365D"/>
        </w:rPr>
        <w:t>. gad</w:t>
      </w:r>
      <w:r w:rsidR="0072147A" w:rsidRPr="00D613A6">
        <w:rPr>
          <w:noProof w:val="0"/>
          <w:color w:val="17365D"/>
        </w:rPr>
        <w:t xml:space="preserve">ā </w:t>
      </w:r>
      <w:r w:rsidR="00AC26BE" w:rsidRPr="00D613A6">
        <w:rPr>
          <w:color w:val="17365D"/>
          <w:szCs w:val="20"/>
          <w:lang w:eastAsia="en-US"/>
        </w:rPr>
        <w:t xml:space="preserve">valsts speciālā budžeta ieņēmumos </w:t>
      </w:r>
      <w:r w:rsidR="0014695B" w:rsidRPr="00D613A6">
        <w:rPr>
          <w:color w:val="17365D"/>
          <w:szCs w:val="20"/>
          <w:lang w:eastAsia="en-US"/>
        </w:rPr>
        <w:t xml:space="preserve">Valsts sociālās apdrošināšanas obligātās iemaksas (turpmāk – </w:t>
      </w:r>
      <w:r w:rsidR="00322822" w:rsidRPr="00D613A6">
        <w:rPr>
          <w:noProof w:val="0"/>
          <w:color w:val="17365D"/>
        </w:rPr>
        <w:t>VSA</w:t>
      </w:r>
      <w:r w:rsidR="0014695B" w:rsidRPr="00D613A6">
        <w:rPr>
          <w:noProof w:val="0"/>
          <w:color w:val="17365D"/>
        </w:rPr>
        <w:t>O</w:t>
      </w:r>
      <w:r w:rsidR="00322822" w:rsidRPr="00D613A6">
        <w:rPr>
          <w:noProof w:val="0"/>
          <w:color w:val="17365D"/>
        </w:rPr>
        <w:t>I</w:t>
      </w:r>
      <w:r w:rsidR="0014695B" w:rsidRPr="00D613A6">
        <w:rPr>
          <w:noProof w:val="0"/>
          <w:color w:val="17365D"/>
        </w:rPr>
        <w:t>)</w:t>
      </w:r>
      <w:r w:rsidR="00322822" w:rsidRPr="00D613A6">
        <w:rPr>
          <w:noProof w:val="0"/>
          <w:color w:val="17365D"/>
        </w:rPr>
        <w:t xml:space="preserve"> </w:t>
      </w:r>
      <w:r w:rsidR="0072147A" w:rsidRPr="00D613A6">
        <w:rPr>
          <w:noProof w:val="0"/>
          <w:color w:val="17365D"/>
        </w:rPr>
        <w:t xml:space="preserve">ieņēmumi ir </w:t>
      </w:r>
      <w:r w:rsidR="000D0D42" w:rsidRPr="00D613A6">
        <w:rPr>
          <w:noProof w:val="0"/>
          <w:color w:val="17365D"/>
        </w:rPr>
        <w:t>4</w:t>
      </w:r>
      <w:r w:rsidR="00955F9E" w:rsidRPr="00D613A6">
        <w:rPr>
          <w:noProof w:val="0"/>
          <w:color w:val="17365D"/>
        </w:rPr>
        <w:t> </w:t>
      </w:r>
      <w:r w:rsidR="000D0D42" w:rsidRPr="00D613A6">
        <w:rPr>
          <w:noProof w:val="0"/>
          <w:color w:val="17365D"/>
        </w:rPr>
        <w:t>244</w:t>
      </w:r>
      <w:r w:rsidR="00732009" w:rsidRPr="00D613A6">
        <w:rPr>
          <w:noProof w:val="0"/>
          <w:color w:val="17365D"/>
        </w:rPr>
        <w:t>,</w:t>
      </w:r>
      <w:r w:rsidR="000D0D42" w:rsidRPr="00D613A6">
        <w:rPr>
          <w:noProof w:val="0"/>
          <w:color w:val="17365D"/>
        </w:rPr>
        <w:t>7</w:t>
      </w:r>
      <w:r w:rsidR="00732009" w:rsidRPr="00D613A6">
        <w:rPr>
          <w:noProof w:val="0"/>
          <w:color w:val="17365D"/>
        </w:rPr>
        <w:t> milj.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0072147A" w:rsidRPr="00D613A6">
        <w:rPr>
          <w:noProof w:val="0"/>
          <w:color w:val="17365D"/>
        </w:rPr>
        <w:t xml:space="preserve">, kas salīdzinājumā ar </w:t>
      </w:r>
      <w:r w:rsidRPr="00D613A6">
        <w:rPr>
          <w:noProof w:val="0"/>
          <w:color w:val="17365D"/>
        </w:rPr>
        <w:t>20</w:t>
      </w:r>
      <w:r w:rsidR="00BC2611" w:rsidRPr="00D613A6">
        <w:rPr>
          <w:noProof w:val="0"/>
          <w:color w:val="17365D"/>
        </w:rPr>
        <w:t>2</w:t>
      </w:r>
      <w:r w:rsidR="000D0D42" w:rsidRPr="00D613A6">
        <w:rPr>
          <w:noProof w:val="0"/>
          <w:color w:val="17365D"/>
        </w:rPr>
        <w:t>3</w:t>
      </w:r>
      <w:r w:rsidRPr="00D613A6">
        <w:rPr>
          <w:noProof w:val="0"/>
          <w:color w:val="17365D"/>
        </w:rPr>
        <w:t>. gad</w:t>
      </w:r>
      <w:r w:rsidR="0072147A" w:rsidRPr="00D613A6">
        <w:rPr>
          <w:noProof w:val="0"/>
          <w:color w:val="17365D"/>
        </w:rPr>
        <w:t xml:space="preserve">u ir par </w:t>
      </w:r>
      <w:r w:rsidR="00CF142F" w:rsidRPr="00D613A6">
        <w:rPr>
          <w:noProof w:val="0"/>
          <w:color w:val="17365D"/>
        </w:rPr>
        <w:t>3</w:t>
      </w:r>
      <w:r w:rsidR="00F6390E" w:rsidRPr="00D613A6">
        <w:rPr>
          <w:noProof w:val="0"/>
          <w:color w:val="17365D"/>
        </w:rPr>
        <w:t>61</w:t>
      </w:r>
      <w:r w:rsidR="0072147A" w:rsidRPr="00D613A6">
        <w:rPr>
          <w:noProof w:val="0"/>
          <w:color w:val="17365D"/>
        </w:rPr>
        <w:t>,</w:t>
      </w:r>
      <w:r w:rsidR="00F6390E" w:rsidRPr="00D613A6">
        <w:rPr>
          <w:noProof w:val="0"/>
          <w:color w:val="17365D"/>
        </w:rPr>
        <w:t>0</w:t>
      </w:r>
      <w:r w:rsidR="003F3D74" w:rsidRPr="00D613A6">
        <w:rPr>
          <w:noProof w:val="0"/>
          <w:color w:val="17365D"/>
        </w:rPr>
        <w:t> milj. </w:t>
      </w:r>
      <w:r w:rsidR="00EF7B9A" w:rsidRPr="00D613A6">
        <w:rPr>
          <w:rStyle w:val="Piemrstxt"/>
          <w:rFonts w:ascii="Times New Roman" w:hAnsi="Times New Roman"/>
          <w:i/>
          <w:noProof w:val="0"/>
          <w:color w:val="17365D"/>
          <w:sz w:val="24"/>
        </w:rPr>
        <w:t>euro</w:t>
      </w:r>
      <w:r w:rsidR="00C14F3E" w:rsidRPr="00D613A6">
        <w:rPr>
          <w:noProof w:val="0"/>
          <w:color w:val="17365D"/>
        </w:rPr>
        <w:t xml:space="preserve"> </w:t>
      </w:r>
      <w:r w:rsidR="0072147A" w:rsidRPr="00D613A6">
        <w:rPr>
          <w:noProof w:val="0"/>
          <w:color w:val="17365D"/>
        </w:rPr>
        <w:t xml:space="preserve">jeb </w:t>
      </w:r>
      <w:r w:rsidR="00CF142F" w:rsidRPr="00D613A6">
        <w:rPr>
          <w:noProof w:val="0"/>
          <w:color w:val="17365D"/>
        </w:rPr>
        <w:t>9</w:t>
      </w:r>
      <w:r w:rsidR="0072147A" w:rsidRPr="00D613A6">
        <w:rPr>
          <w:noProof w:val="0"/>
          <w:color w:val="17365D"/>
        </w:rPr>
        <w:t>,</w:t>
      </w:r>
      <w:r w:rsidR="00F6390E" w:rsidRPr="00D613A6">
        <w:rPr>
          <w:noProof w:val="0"/>
          <w:color w:val="17365D"/>
        </w:rPr>
        <w:t>3</w:t>
      </w:r>
      <w:r w:rsidR="000F44D7" w:rsidRPr="00D613A6">
        <w:rPr>
          <w:noProof w:val="0"/>
          <w:color w:val="17365D"/>
        </w:rPr>
        <w:t>0</w:t>
      </w:r>
      <w:r w:rsidR="006A7956" w:rsidRPr="00D613A6">
        <w:rPr>
          <w:noProof w:val="0"/>
          <w:color w:val="17365D"/>
        </w:rPr>
        <w:t> %</w:t>
      </w:r>
      <w:r w:rsidR="0072147A" w:rsidRPr="00D613A6">
        <w:rPr>
          <w:noProof w:val="0"/>
          <w:color w:val="17365D"/>
        </w:rPr>
        <w:t xml:space="preserve"> </w:t>
      </w:r>
      <w:r w:rsidR="00EC2FE0" w:rsidRPr="00D613A6">
        <w:rPr>
          <w:noProof w:val="0"/>
          <w:color w:val="17365D"/>
        </w:rPr>
        <w:t>vairāk</w:t>
      </w:r>
      <w:r w:rsidR="0072147A" w:rsidRPr="00D613A6">
        <w:rPr>
          <w:noProof w:val="0"/>
          <w:color w:val="17365D"/>
        </w:rPr>
        <w:t xml:space="preserve">. </w:t>
      </w:r>
      <w:r w:rsidR="00B86927" w:rsidRPr="00D613A6">
        <w:rPr>
          <w:noProof w:val="0"/>
          <w:color w:val="17365D"/>
        </w:rPr>
        <w:t>VSA</w:t>
      </w:r>
      <w:r w:rsidR="0014695B" w:rsidRPr="00D613A6">
        <w:rPr>
          <w:noProof w:val="0"/>
          <w:color w:val="17365D"/>
        </w:rPr>
        <w:t>O</w:t>
      </w:r>
      <w:r w:rsidR="00322822" w:rsidRPr="00D613A6">
        <w:rPr>
          <w:noProof w:val="0"/>
          <w:color w:val="17365D"/>
        </w:rPr>
        <w:t>I</w:t>
      </w:r>
      <w:r w:rsidR="0072147A" w:rsidRPr="00D613A6">
        <w:rPr>
          <w:noProof w:val="0"/>
          <w:color w:val="17365D"/>
        </w:rPr>
        <w:t xml:space="preserve"> gada plāna izpilde ir </w:t>
      </w:r>
      <w:r w:rsidR="00F6390E" w:rsidRPr="00D613A6">
        <w:rPr>
          <w:noProof w:val="0"/>
          <w:color w:val="17365D"/>
        </w:rPr>
        <w:t>9</w:t>
      </w:r>
      <w:r w:rsidR="000F44D7" w:rsidRPr="00D613A6">
        <w:rPr>
          <w:noProof w:val="0"/>
          <w:color w:val="17365D"/>
        </w:rPr>
        <w:t>6</w:t>
      </w:r>
      <w:r w:rsidR="00405AD2" w:rsidRPr="00D613A6">
        <w:rPr>
          <w:noProof w:val="0"/>
          <w:color w:val="17365D"/>
        </w:rPr>
        <w:t>,</w:t>
      </w:r>
      <w:r w:rsidR="00CF142F" w:rsidRPr="00D613A6">
        <w:rPr>
          <w:noProof w:val="0"/>
          <w:color w:val="17365D"/>
        </w:rPr>
        <w:t>7</w:t>
      </w:r>
      <w:r w:rsidR="000F44D7" w:rsidRPr="00D613A6">
        <w:rPr>
          <w:noProof w:val="0"/>
          <w:color w:val="17365D"/>
        </w:rPr>
        <w:t>5</w:t>
      </w:r>
      <w:r w:rsidR="006A7956" w:rsidRPr="00D613A6">
        <w:rPr>
          <w:noProof w:val="0"/>
          <w:color w:val="17365D"/>
        </w:rPr>
        <w:t> %</w:t>
      </w:r>
      <w:r w:rsidR="0072147A" w:rsidRPr="00D613A6">
        <w:rPr>
          <w:noProof w:val="0"/>
          <w:color w:val="17365D"/>
        </w:rPr>
        <w:t>.</w:t>
      </w:r>
      <w:r w:rsidR="000B14C8" w:rsidRPr="00D613A6">
        <w:rPr>
          <w:color w:val="17365D"/>
        </w:rPr>
        <w:t xml:space="preserve"> </w:t>
      </w:r>
      <w:r w:rsidR="000B14C8" w:rsidRPr="00D613A6">
        <w:rPr>
          <w:noProof w:val="0"/>
          <w:color w:val="17365D"/>
        </w:rPr>
        <w:t>Detalizēta informācija par valsts budžeta ieņēmumiem</w:t>
      </w:r>
      <w:r w:rsidR="000D0D42" w:rsidRPr="00D613A6">
        <w:rPr>
          <w:noProof w:val="0"/>
          <w:color w:val="17365D"/>
        </w:rPr>
        <w:t xml:space="preserve"> skatāma 2024</w:t>
      </w:r>
      <w:r w:rsidR="000B14C8" w:rsidRPr="00D613A6">
        <w:rPr>
          <w:noProof w:val="0"/>
          <w:color w:val="17365D"/>
        </w:rPr>
        <w:t>. gada pārskata 8. tabula “Likuma par valsts budžetu 2. pielikuma “Valsts budžeta ieņēmumi” izpilde” sadaļā “III Valsts speciālā budžeta ieņēmumi”.</w:t>
      </w:r>
    </w:p>
    <w:p w14:paraId="17A83ECA" w14:textId="0F941EB7" w:rsidR="00387205" w:rsidRPr="00D613A6" w:rsidRDefault="00B86927" w:rsidP="00DC6195">
      <w:pPr>
        <w:autoSpaceDE w:val="0"/>
        <w:autoSpaceDN w:val="0"/>
        <w:adjustRightInd w:val="0"/>
        <w:spacing w:after="0"/>
        <w:rPr>
          <w:color w:val="17365D"/>
          <w:szCs w:val="20"/>
          <w:lang w:eastAsia="en-US"/>
        </w:rPr>
      </w:pPr>
      <w:r w:rsidRPr="00D613A6">
        <w:rPr>
          <w:color w:val="17365D"/>
          <w:szCs w:val="20"/>
          <w:lang w:eastAsia="en-US"/>
        </w:rPr>
        <w:t>VSA</w:t>
      </w:r>
      <w:r w:rsidR="0014695B" w:rsidRPr="00D613A6">
        <w:rPr>
          <w:color w:val="17365D"/>
          <w:szCs w:val="20"/>
          <w:lang w:eastAsia="en-US"/>
        </w:rPr>
        <w:t>O</w:t>
      </w:r>
      <w:r w:rsidR="008F3A92" w:rsidRPr="00D613A6">
        <w:rPr>
          <w:color w:val="17365D"/>
          <w:szCs w:val="20"/>
          <w:lang w:eastAsia="en-US"/>
        </w:rPr>
        <w:t>I</w:t>
      </w:r>
      <w:r w:rsidR="00732009" w:rsidRPr="00D613A6">
        <w:rPr>
          <w:color w:val="17365D"/>
          <w:szCs w:val="20"/>
          <w:lang w:eastAsia="en-US"/>
        </w:rPr>
        <w:t xml:space="preserve"> </w:t>
      </w:r>
      <w:r w:rsidR="00DB5895" w:rsidRPr="00D613A6">
        <w:rPr>
          <w:color w:val="17365D"/>
          <w:szCs w:val="20"/>
          <w:lang w:eastAsia="en-US"/>
        </w:rPr>
        <w:t>paliel</w:t>
      </w:r>
      <w:r w:rsidR="0091499A" w:rsidRPr="00D613A6">
        <w:rPr>
          <w:color w:val="17365D"/>
          <w:szCs w:val="20"/>
          <w:lang w:eastAsia="en-US"/>
        </w:rPr>
        <w:t>inājumu</w:t>
      </w:r>
      <w:r w:rsidR="00732009" w:rsidRPr="00D613A6">
        <w:rPr>
          <w:color w:val="17365D"/>
          <w:szCs w:val="20"/>
          <w:lang w:eastAsia="en-US"/>
        </w:rPr>
        <w:t xml:space="preserve"> galvenokārt </w:t>
      </w:r>
      <w:r w:rsidR="0091499A" w:rsidRPr="00D613A6">
        <w:rPr>
          <w:color w:val="17365D"/>
          <w:szCs w:val="20"/>
          <w:lang w:eastAsia="en-US"/>
        </w:rPr>
        <w:t>ietekmēja</w:t>
      </w:r>
      <w:r w:rsidR="001A1D8C" w:rsidRPr="00D613A6">
        <w:rPr>
          <w:color w:val="17365D"/>
        </w:rPr>
        <w:t xml:space="preserve"> </w:t>
      </w:r>
      <w:r w:rsidR="00F42325" w:rsidRPr="00D613A6">
        <w:rPr>
          <w:color w:val="17365D"/>
          <w:szCs w:val="20"/>
          <w:lang w:eastAsia="en-US"/>
        </w:rPr>
        <w:t>mēneša vidējā</w:t>
      </w:r>
      <w:r w:rsidR="00C47F18" w:rsidRPr="00D613A6">
        <w:rPr>
          <w:color w:val="17365D"/>
          <w:szCs w:val="20"/>
          <w:lang w:eastAsia="en-US"/>
        </w:rPr>
        <w:t>s</w:t>
      </w:r>
      <w:r w:rsidR="00F42325" w:rsidRPr="00D613A6">
        <w:rPr>
          <w:color w:val="17365D"/>
          <w:szCs w:val="20"/>
          <w:lang w:eastAsia="en-US"/>
        </w:rPr>
        <w:t xml:space="preserve"> bruto darba samaksas</w:t>
      </w:r>
      <w:r w:rsidR="00F42325" w:rsidRPr="00D613A6">
        <w:rPr>
          <w:color w:val="17365D"/>
        </w:rPr>
        <w:t xml:space="preserve"> pieaugums</w:t>
      </w:r>
      <w:r w:rsidR="0099673D" w:rsidRPr="00D613A6">
        <w:rPr>
          <w:color w:val="17365D"/>
        </w:rPr>
        <w:t>, kas 202</w:t>
      </w:r>
      <w:r w:rsidR="000F44D7" w:rsidRPr="00D613A6">
        <w:rPr>
          <w:color w:val="17365D"/>
        </w:rPr>
        <w:t>4</w:t>
      </w:r>
      <w:r w:rsidR="0099673D" w:rsidRPr="00D613A6">
        <w:rPr>
          <w:color w:val="17365D"/>
        </w:rPr>
        <w:t>.</w:t>
      </w:r>
      <w:r w:rsidR="00C47F18" w:rsidRPr="00D613A6">
        <w:rPr>
          <w:color w:val="17365D"/>
        </w:rPr>
        <w:t> </w:t>
      </w:r>
      <w:r w:rsidR="0099673D" w:rsidRPr="00D613A6">
        <w:rPr>
          <w:color w:val="17365D"/>
        </w:rPr>
        <w:t xml:space="preserve">gadā </w:t>
      </w:r>
      <w:r w:rsidR="00C66FD1" w:rsidRPr="00D613A6">
        <w:rPr>
          <w:color w:val="17365D"/>
        </w:rPr>
        <w:t xml:space="preserve">vidēji </w:t>
      </w:r>
      <w:r w:rsidR="00167A1A" w:rsidRPr="00D613A6">
        <w:rPr>
          <w:color w:val="17365D"/>
        </w:rPr>
        <w:t>ir</w:t>
      </w:r>
      <w:r w:rsidR="00F42325" w:rsidRPr="00D613A6">
        <w:rPr>
          <w:color w:val="17365D"/>
        </w:rPr>
        <w:t xml:space="preserve"> 1</w:t>
      </w:r>
      <w:r w:rsidR="000F44D7" w:rsidRPr="00D613A6">
        <w:rPr>
          <w:color w:val="17365D"/>
        </w:rPr>
        <w:t>685</w:t>
      </w:r>
      <w:r w:rsidR="00F42325" w:rsidRPr="00D613A6">
        <w:rPr>
          <w:color w:val="17365D"/>
        </w:rPr>
        <w:t> </w:t>
      </w:r>
      <w:r w:rsidR="00F42325" w:rsidRPr="00D613A6">
        <w:rPr>
          <w:i/>
          <w:color w:val="17365D"/>
        </w:rPr>
        <w:t>e</w:t>
      </w:r>
      <w:r w:rsidR="00387205" w:rsidRPr="00D613A6">
        <w:rPr>
          <w:i/>
          <w:color w:val="17365D"/>
        </w:rPr>
        <w:t>u</w:t>
      </w:r>
      <w:r w:rsidR="00F42325" w:rsidRPr="00D613A6">
        <w:rPr>
          <w:i/>
          <w:color w:val="17365D"/>
        </w:rPr>
        <w:t>ro</w:t>
      </w:r>
      <w:r w:rsidR="00CF142F" w:rsidRPr="00D613A6">
        <w:rPr>
          <w:i/>
          <w:color w:val="17365D"/>
        </w:rPr>
        <w:t xml:space="preserve"> </w:t>
      </w:r>
      <w:r w:rsidR="00CF142F" w:rsidRPr="00D613A6">
        <w:rPr>
          <w:color w:val="17365D"/>
        </w:rPr>
        <w:t>mēnesī</w:t>
      </w:r>
      <w:r w:rsidR="0099673D" w:rsidRPr="00D613A6">
        <w:rPr>
          <w:color w:val="17365D"/>
        </w:rPr>
        <w:t>,</w:t>
      </w:r>
      <w:r w:rsidR="00387205" w:rsidRPr="00D613A6">
        <w:rPr>
          <w:color w:val="17365D"/>
        </w:rPr>
        <w:t xml:space="preserve"> </w:t>
      </w:r>
      <w:r w:rsidR="0099673D" w:rsidRPr="00D613A6">
        <w:rPr>
          <w:color w:val="17365D"/>
        </w:rPr>
        <w:t xml:space="preserve">kas </w:t>
      </w:r>
      <w:r w:rsidR="00336E94" w:rsidRPr="00D613A6">
        <w:rPr>
          <w:color w:val="17365D"/>
        </w:rPr>
        <w:t>palielināja</w:t>
      </w:r>
      <w:r w:rsidR="00F42325" w:rsidRPr="00D613A6">
        <w:rPr>
          <w:color w:val="17365D"/>
        </w:rPr>
        <w:t xml:space="preserve"> </w:t>
      </w:r>
      <w:r w:rsidR="00F42325" w:rsidRPr="00D613A6">
        <w:rPr>
          <w:color w:val="17365D"/>
          <w:szCs w:val="20"/>
          <w:lang w:eastAsia="en-US"/>
        </w:rPr>
        <w:t>darba samaksas fonda pieaugum</w:t>
      </w:r>
      <w:r w:rsidR="0099673D" w:rsidRPr="00D613A6">
        <w:rPr>
          <w:color w:val="17365D"/>
          <w:szCs w:val="20"/>
          <w:lang w:eastAsia="en-US"/>
        </w:rPr>
        <w:t>u.</w:t>
      </w:r>
      <w:r w:rsidR="00387205" w:rsidRPr="00D613A6">
        <w:rPr>
          <w:color w:val="17365D"/>
          <w:szCs w:val="20"/>
          <w:lang w:eastAsia="en-US"/>
        </w:rPr>
        <w:t xml:space="preserve"> </w:t>
      </w:r>
      <w:r w:rsidR="00336E94" w:rsidRPr="00D613A6">
        <w:rPr>
          <w:color w:val="17365D"/>
          <w:szCs w:val="20"/>
          <w:lang w:eastAsia="en-US"/>
        </w:rPr>
        <w:t xml:space="preserve">No </w:t>
      </w:r>
      <w:r w:rsidR="000F44D7" w:rsidRPr="00D613A6">
        <w:rPr>
          <w:color w:val="17365D"/>
          <w:szCs w:val="20"/>
          <w:lang w:eastAsia="en-US"/>
        </w:rPr>
        <w:t>2024</w:t>
      </w:r>
      <w:r w:rsidR="00387205" w:rsidRPr="00D613A6">
        <w:rPr>
          <w:color w:val="17365D"/>
          <w:szCs w:val="20"/>
          <w:lang w:eastAsia="en-US"/>
        </w:rPr>
        <w:t>.</w:t>
      </w:r>
      <w:r w:rsidR="00C47F18" w:rsidRPr="00D613A6">
        <w:rPr>
          <w:color w:val="17365D"/>
          <w:szCs w:val="20"/>
          <w:lang w:eastAsia="en-US"/>
        </w:rPr>
        <w:t> </w:t>
      </w:r>
      <w:r w:rsidR="00387205" w:rsidRPr="00D613A6">
        <w:rPr>
          <w:color w:val="17365D"/>
          <w:szCs w:val="20"/>
          <w:lang w:eastAsia="en-US"/>
        </w:rPr>
        <w:t>gad</w:t>
      </w:r>
      <w:r w:rsidR="00336E94" w:rsidRPr="00D613A6">
        <w:rPr>
          <w:color w:val="17365D"/>
          <w:szCs w:val="20"/>
          <w:lang w:eastAsia="en-US"/>
        </w:rPr>
        <w:t>a</w:t>
      </w:r>
      <w:r w:rsidR="00387205" w:rsidRPr="00D613A6">
        <w:rPr>
          <w:color w:val="17365D"/>
          <w:szCs w:val="20"/>
          <w:lang w:eastAsia="en-US"/>
        </w:rPr>
        <w:t xml:space="preserve"> valstī noteikt</w:t>
      </w:r>
      <w:r w:rsidR="00C47F18" w:rsidRPr="00D613A6">
        <w:rPr>
          <w:color w:val="17365D"/>
          <w:szCs w:val="20"/>
          <w:lang w:eastAsia="en-US"/>
        </w:rPr>
        <w:t>s</w:t>
      </w:r>
      <w:r w:rsidR="00387205" w:rsidRPr="00D613A6">
        <w:rPr>
          <w:color w:val="17365D"/>
          <w:szCs w:val="20"/>
          <w:lang w:eastAsia="en-US"/>
        </w:rPr>
        <w:t xml:space="preserve"> minimālā</w:t>
      </w:r>
      <w:r w:rsidR="00C47F18" w:rsidRPr="00D613A6">
        <w:rPr>
          <w:color w:val="17365D"/>
          <w:szCs w:val="20"/>
          <w:lang w:eastAsia="en-US"/>
        </w:rPr>
        <w:t>s</w:t>
      </w:r>
      <w:r w:rsidR="00387205" w:rsidRPr="00D613A6">
        <w:rPr>
          <w:color w:val="17365D"/>
          <w:szCs w:val="20"/>
          <w:lang w:eastAsia="en-US"/>
        </w:rPr>
        <w:t xml:space="preserve"> alga</w:t>
      </w:r>
      <w:r w:rsidR="00C47F18" w:rsidRPr="00D613A6">
        <w:rPr>
          <w:color w:val="17365D"/>
          <w:szCs w:val="20"/>
          <w:lang w:eastAsia="en-US"/>
        </w:rPr>
        <w:t>s</w:t>
      </w:r>
      <w:r w:rsidR="00387205" w:rsidRPr="00D613A6">
        <w:rPr>
          <w:color w:val="17365D"/>
          <w:szCs w:val="20"/>
          <w:lang w:eastAsia="en-US"/>
        </w:rPr>
        <w:t xml:space="preserve"> pieaugums no </w:t>
      </w:r>
      <w:r w:rsidR="000F44D7" w:rsidRPr="00D613A6">
        <w:rPr>
          <w:color w:val="17365D"/>
          <w:szCs w:val="20"/>
          <w:lang w:eastAsia="en-US"/>
        </w:rPr>
        <w:t>620</w:t>
      </w:r>
      <w:r w:rsidR="00387205" w:rsidRPr="00D613A6">
        <w:rPr>
          <w:color w:val="17365D"/>
          <w:szCs w:val="20"/>
          <w:lang w:eastAsia="en-US"/>
        </w:rPr>
        <w:t xml:space="preserve"> </w:t>
      </w:r>
      <w:r w:rsidR="009C79F8" w:rsidRPr="00D613A6">
        <w:rPr>
          <w:i/>
          <w:color w:val="17365D"/>
          <w:szCs w:val="20"/>
          <w:lang w:eastAsia="en-US"/>
        </w:rPr>
        <w:t>euro</w:t>
      </w:r>
      <w:r w:rsidR="009C79F8" w:rsidRPr="00D613A6">
        <w:rPr>
          <w:color w:val="17365D"/>
          <w:szCs w:val="20"/>
          <w:lang w:eastAsia="en-US"/>
        </w:rPr>
        <w:t xml:space="preserve"> </w:t>
      </w:r>
      <w:r w:rsidR="00387205" w:rsidRPr="00D613A6">
        <w:rPr>
          <w:color w:val="17365D"/>
          <w:szCs w:val="20"/>
          <w:lang w:eastAsia="en-US"/>
        </w:rPr>
        <w:t xml:space="preserve">līdz </w:t>
      </w:r>
      <w:r w:rsidR="000F44D7" w:rsidRPr="00D613A6">
        <w:rPr>
          <w:color w:val="17365D"/>
          <w:szCs w:val="20"/>
          <w:lang w:eastAsia="en-US"/>
        </w:rPr>
        <w:t>700</w:t>
      </w:r>
      <w:r w:rsidR="00387205" w:rsidRPr="00D613A6">
        <w:rPr>
          <w:color w:val="17365D"/>
          <w:szCs w:val="20"/>
          <w:lang w:eastAsia="en-US"/>
        </w:rPr>
        <w:t xml:space="preserve"> </w:t>
      </w:r>
      <w:r w:rsidR="00387205" w:rsidRPr="00D613A6">
        <w:rPr>
          <w:i/>
          <w:color w:val="17365D"/>
          <w:szCs w:val="20"/>
          <w:lang w:eastAsia="en-US"/>
        </w:rPr>
        <w:t>euro</w:t>
      </w:r>
      <w:r w:rsidR="00387205" w:rsidRPr="00D613A6">
        <w:rPr>
          <w:color w:val="17365D"/>
          <w:szCs w:val="20"/>
          <w:lang w:eastAsia="en-US"/>
        </w:rPr>
        <w:t xml:space="preserve"> jeb par </w:t>
      </w:r>
      <w:r w:rsidR="003D1708" w:rsidRPr="00D613A6">
        <w:rPr>
          <w:color w:val="17365D"/>
          <w:szCs w:val="20"/>
          <w:lang w:eastAsia="en-US"/>
        </w:rPr>
        <w:t>12,9</w:t>
      </w:r>
      <w:r w:rsidR="00387205" w:rsidRPr="00D613A6">
        <w:rPr>
          <w:color w:val="17365D"/>
          <w:szCs w:val="20"/>
          <w:lang w:eastAsia="en-US"/>
        </w:rPr>
        <w:t xml:space="preserve"> % par pilnas slodzes darbu.</w:t>
      </w:r>
    </w:p>
    <w:p w14:paraId="3F80D909" w14:textId="0903E96A" w:rsidR="00387205" w:rsidRPr="00D613A6" w:rsidRDefault="000F44D7" w:rsidP="00DC6195">
      <w:pPr>
        <w:autoSpaceDE w:val="0"/>
        <w:autoSpaceDN w:val="0"/>
        <w:adjustRightInd w:val="0"/>
        <w:spacing w:after="0"/>
        <w:rPr>
          <w:color w:val="17365D"/>
          <w:szCs w:val="20"/>
          <w:lang w:eastAsia="en-US"/>
        </w:rPr>
      </w:pPr>
      <w:r w:rsidRPr="00D613A6">
        <w:rPr>
          <w:color w:val="17365D"/>
          <w:szCs w:val="20"/>
          <w:lang w:eastAsia="en-US"/>
        </w:rPr>
        <w:t>2024</w:t>
      </w:r>
      <w:r w:rsidR="00387205" w:rsidRPr="00D613A6">
        <w:rPr>
          <w:color w:val="17365D"/>
          <w:szCs w:val="20"/>
          <w:lang w:eastAsia="en-US"/>
        </w:rPr>
        <w:t>.</w:t>
      </w:r>
      <w:r w:rsidR="00C47F18" w:rsidRPr="00D613A6">
        <w:rPr>
          <w:color w:val="17365D"/>
          <w:szCs w:val="20"/>
          <w:lang w:eastAsia="en-US"/>
        </w:rPr>
        <w:t> </w:t>
      </w:r>
      <w:r w:rsidR="00387205" w:rsidRPr="00D613A6">
        <w:rPr>
          <w:color w:val="17365D"/>
          <w:szCs w:val="20"/>
          <w:lang w:eastAsia="en-US"/>
        </w:rPr>
        <w:t xml:space="preserve">gadā mēneša vidējā bruto darba samaksa sabiedriskajā sektorā (1 </w:t>
      </w:r>
      <w:r w:rsidRPr="00D613A6">
        <w:rPr>
          <w:color w:val="17365D"/>
          <w:szCs w:val="20"/>
          <w:lang w:eastAsia="en-US"/>
        </w:rPr>
        <w:t>742</w:t>
      </w:r>
      <w:r w:rsidR="00387205" w:rsidRPr="00D613A6">
        <w:rPr>
          <w:color w:val="17365D"/>
          <w:szCs w:val="20"/>
          <w:lang w:eastAsia="en-US"/>
        </w:rPr>
        <w:t xml:space="preserve"> </w:t>
      </w:r>
      <w:r w:rsidR="00387205" w:rsidRPr="00D613A6">
        <w:rPr>
          <w:i/>
          <w:color w:val="17365D"/>
          <w:szCs w:val="20"/>
          <w:lang w:eastAsia="en-US"/>
        </w:rPr>
        <w:t>euro</w:t>
      </w:r>
      <w:r w:rsidR="00387205" w:rsidRPr="00D613A6">
        <w:rPr>
          <w:color w:val="17365D"/>
          <w:szCs w:val="20"/>
          <w:lang w:eastAsia="en-US"/>
        </w:rPr>
        <w:t xml:space="preserve">) </w:t>
      </w:r>
      <w:r w:rsidR="00167A1A" w:rsidRPr="00D613A6">
        <w:rPr>
          <w:color w:val="17365D"/>
          <w:szCs w:val="20"/>
          <w:lang w:eastAsia="en-US"/>
        </w:rPr>
        <w:t>ir</w:t>
      </w:r>
      <w:r w:rsidR="00387205" w:rsidRPr="00D613A6">
        <w:rPr>
          <w:color w:val="17365D"/>
          <w:szCs w:val="20"/>
          <w:lang w:eastAsia="en-US"/>
        </w:rPr>
        <w:t xml:space="preserve"> par </w:t>
      </w:r>
      <w:r w:rsidRPr="00D613A6">
        <w:rPr>
          <w:color w:val="17365D"/>
          <w:szCs w:val="20"/>
          <w:lang w:eastAsia="en-US"/>
        </w:rPr>
        <w:t>76</w:t>
      </w:r>
      <w:r w:rsidR="006E1085" w:rsidRPr="00D613A6">
        <w:rPr>
          <w:color w:val="17365D"/>
          <w:szCs w:val="20"/>
          <w:lang w:eastAsia="en-US"/>
        </w:rPr>
        <w:t> </w:t>
      </w:r>
      <w:r w:rsidR="00387205" w:rsidRPr="00D613A6">
        <w:rPr>
          <w:i/>
          <w:color w:val="17365D"/>
          <w:szCs w:val="20"/>
          <w:lang w:eastAsia="en-US"/>
        </w:rPr>
        <w:t>euro</w:t>
      </w:r>
      <w:r w:rsidR="00387205" w:rsidRPr="00D613A6">
        <w:rPr>
          <w:color w:val="17365D"/>
          <w:szCs w:val="20"/>
          <w:lang w:eastAsia="en-US"/>
        </w:rPr>
        <w:t xml:space="preserve"> lielāka nekā privātajā</w:t>
      </w:r>
      <w:r w:rsidR="00C47F18" w:rsidRPr="00D613A6">
        <w:rPr>
          <w:color w:val="17365D"/>
          <w:szCs w:val="20"/>
          <w:lang w:eastAsia="en-US"/>
        </w:rPr>
        <w:t xml:space="preserve"> </w:t>
      </w:r>
      <w:r w:rsidR="009C79F8" w:rsidRPr="00D613A6">
        <w:rPr>
          <w:color w:val="17365D"/>
          <w:szCs w:val="20"/>
          <w:lang w:eastAsia="en-US"/>
        </w:rPr>
        <w:t>sektorā</w:t>
      </w:r>
      <w:r w:rsidR="00387205" w:rsidRPr="00D613A6">
        <w:rPr>
          <w:color w:val="17365D"/>
          <w:szCs w:val="20"/>
          <w:lang w:eastAsia="en-US"/>
        </w:rPr>
        <w:t xml:space="preserve"> (1</w:t>
      </w:r>
      <w:r w:rsidR="009C79F8" w:rsidRPr="00D613A6">
        <w:rPr>
          <w:color w:val="17365D"/>
          <w:szCs w:val="20"/>
          <w:lang w:eastAsia="en-US"/>
        </w:rPr>
        <w:t> </w:t>
      </w:r>
      <w:r w:rsidRPr="00D613A6">
        <w:rPr>
          <w:color w:val="17365D"/>
          <w:szCs w:val="20"/>
          <w:lang w:eastAsia="en-US"/>
        </w:rPr>
        <w:t>666</w:t>
      </w:r>
      <w:r w:rsidR="009C79F8" w:rsidRPr="00D613A6">
        <w:rPr>
          <w:color w:val="17365D"/>
          <w:szCs w:val="20"/>
          <w:lang w:eastAsia="en-US"/>
        </w:rPr>
        <w:t> </w:t>
      </w:r>
      <w:r w:rsidR="00387205" w:rsidRPr="00D613A6">
        <w:rPr>
          <w:i/>
          <w:color w:val="17365D"/>
          <w:szCs w:val="20"/>
          <w:lang w:eastAsia="en-US"/>
        </w:rPr>
        <w:t>euro</w:t>
      </w:r>
      <w:r w:rsidR="00387205" w:rsidRPr="00D613A6">
        <w:rPr>
          <w:color w:val="17365D"/>
          <w:szCs w:val="20"/>
          <w:lang w:eastAsia="en-US"/>
        </w:rPr>
        <w:t>), un tā pieauga</w:t>
      </w:r>
      <w:r w:rsidR="00C47F18" w:rsidRPr="00D613A6">
        <w:rPr>
          <w:color w:val="17365D"/>
          <w:szCs w:val="20"/>
          <w:lang w:eastAsia="en-US"/>
        </w:rPr>
        <w:t xml:space="preserve"> </w:t>
      </w:r>
      <w:r w:rsidRPr="00D613A6">
        <w:rPr>
          <w:color w:val="17365D"/>
          <w:szCs w:val="20"/>
          <w:lang w:eastAsia="en-US"/>
        </w:rPr>
        <w:t>attiecīgi par 12</w:t>
      </w:r>
      <w:r w:rsidR="00387205" w:rsidRPr="00D613A6">
        <w:rPr>
          <w:color w:val="17365D"/>
          <w:szCs w:val="20"/>
          <w:lang w:eastAsia="en-US"/>
        </w:rPr>
        <w:t>,1</w:t>
      </w:r>
      <w:r w:rsidRPr="00D613A6">
        <w:rPr>
          <w:color w:val="17365D"/>
          <w:szCs w:val="20"/>
          <w:lang w:eastAsia="en-US"/>
        </w:rPr>
        <w:t>7</w:t>
      </w:r>
      <w:r w:rsidR="00387205" w:rsidRPr="00D613A6">
        <w:rPr>
          <w:color w:val="17365D"/>
          <w:szCs w:val="20"/>
          <w:lang w:eastAsia="en-US"/>
        </w:rPr>
        <w:t xml:space="preserve"> % un </w:t>
      </w:r>
      <w:r w:rsidR="001701D2" w:rsidRPr="00D613A6">
        <w:rPr>
          <w:color w:val="17365D"/>
          <w:szCs w:val="20"/>
          <w:lang w:eastAsia="en-US"/>
        </w:rPr>
        <w:t>8,68</w:t>
      </w:r>
      <w:r w:rsidR="00387205" w:rsidRPr="00D613A6">
        <w:rPr>
          <w:color w:val="17365D"/>
          <w:szCs w:val="20"/>
          <w:lang w:eastAsia="en-US"/>
        </w:rPr>
        <w:t xml:space="preserve"> %. Vispārējās valdības sektorā, kurā ietilpst valsts un pašvaldību iestādes, kā arī valsts un pašvaldību kontrolētas un finansētas kapitālsabiedrības, vidējā darba samaksa pieauga līdz 1</w:t>
      </w:r>
      <w:r w:rsidR="00C47F18" w:rsidRPr="00D613A6">
        <w:rPr>
          <w:color w:val="17365D"/>
          <w:szCs w:val="20"/>
          <w:lang w:eastAsia="en-US"/>
        </w:rPr>
        <w:t> </w:t>
      </w:r>
      <w:r w:rsidR="001701D2" w:rsidRPr="00D613A6">
        <w:rPr>
          <w:color w:val="17365D"/>
          <w:szCs w:val="20"/>
          <w:lang w:eastAsia="en-US"/>
        </w:rPr>
        <w:t>689</w:t>
      </w:r>
      <w:r w:rsidR="00387205" w:rsidRPr="00D613A6">
        <w:rPr>
          <w:color w:val="17365D"/>
          <w:szCs w:val="20"/>
          <w:lang w:eastAsia="en-US"/>
        </w:rPr>
        <w:t xml:space="preserve"> </w:t>
      </w:r>
      <w:r w:rsidR="00387205" w:rsidRPr="00D613A6">
        <w:rPr>
          <w:i/>
          <w:color w:val="17365D"/>
          <w:szCs w:val="20"/>
          <w:lang w:eastAsia="en-US"/>
        </w:rPr>
        <w:t>euro</w:t>
      </w:r>
      <w:r w:rsidR="001701D2" w:rsidRPr="00D613A6">
        <w:rPr>
          <w:color w:val="17365D"/>
          <w:szCs w:val="20"/>
          <w:lang w:eastAsia="en-US"/>
        </w:rPr>
        <w:t xml:space="preserve"> jeb par 12,45</w:t>
      </w:r>
      <w:r w:rsidR="00387205" w:rsidRPr="00D613A6">
        <w:rPr>
          <w:color w:val="17365D"/>
          <w:szCs w:val="20"/>
          <w:lang w:eastAsia="en-US"/>
        </w:rPr>
        <w:t xml:space="preserve"> %.</w:t>
      </w:r>
    </w:p>
    <w:p w14:paraId="10EE4965" w14:textId="77777777" w:rsidR="001701D2" w:rsidRPr="00D613A6" w:rsidRDefault="001701D2" w:rsidP="006F58BA">
      <w:pPr>
        <w:autoSpaceDE w:val="0"/>
        <w:autoSpaceDN w:val="0"/>
        <w:adjustRightInd w:val="0"/>
        <w:rPr>
          <w:color w:val="17365D"/>
          <w:szCs w:val="20"/>
          <w:lang w:eastAsia="en-US"/>
        </w:rPr>
      </w:pPr>
      <w:r w:rsidRPr="00D613A6">
        <w:rPr>
          <w:color w:val="17365D"/>
          <w:szCs w:val="20"/>
          <w:lang w:eastAsia="en-US"/>
        </w:rPr>
        <w:t xml:space="preserve">Gada laikā vidējā darba samaksa visstraujāk pieauga izglītībā – par 17,0 %, administratīvo un apkalpojošo dienestu darbību nozarē – par 14,3 % (straujāk darbaspēka meklēšanas un </w:t>
      </w:r>
      <w:r w:rsidRPr="00D613A6">
        <w:rPr>
          <w:color w:val="17365D"/>
          <w:szCs w:val="20"/>
          <w:lang w:eastAsia="en-US"/>
        </w:rPr>
        <w:lastRenderedPageBreak/>
        <w:t xml:space="preserve">nodrošināšanas ar personālu nozarē) un citu pakalpojumu nozarē (ietver sabiedrisko, politisko un citu organizāciju darbību, individuālās lietošanas priekšmetu un mājsaimniecības piederumu remontu, ķīmisko tīrītavu, frizieru, skaistumkopšanas, apbedīšanas un citus pakalpojumus) – par 13,7 %. </w:t>
      </w:r>
    </w:p>
    <w:p w14:paraId="5819D46B" w14:textId="4BE7C297" w:rsidR="00AC26BE" w:rsidRPr="00D613A6" w:rsidRDefault="00093EF5" w:rsidP="003B42B7">
      <w:pPr>
        <w:pStyle w:val="Pamatteksts1"/>
        <w:rPr>
          <w:noProof w:val="0"/>
          <w:color w:val="17365D"/>
        </w:rPr>
      </w:pPr>
      <w:r w:rsidRPr="00D613A6">
        <w:rPr>
          <w:noProof w:val="0"/>
          <w:color w:val="17365D"/>
        </w:rPr>
        <w:t>20</w:t>
      </w:r>
      <w:r w:rsidR="00D95EB6" w:rsidRPr="00D613A6">
        <w:rPr>
          <w:noProof w:val="0"/>
          <w:color w:val="17365D"/>
        </w:rPr>
        <w:t>2</w:t>
      </w:r>
      <w:r w:rsidR="00F6390E" w:rsidRPr="00D613A6">
        <w:rPr>
          <w:noProof w:val="0"/>
          <w:color w:val="17365D"/>
        </w:rPr>
        <w:t>4</w:t>
      </w:r>
      <w:r w:rsidRPr="00D613A6">
        <w:rPr>
          <w:noProof w:val="0"/>
          <w:color w:val="17365D"/>
        </w:rPr>
        <w:t xml:space="preserve">. gadā </w:t>
      </w:r>
      <w:r w:rsidRPr="00D613A6">
        <w:rPr>
          <w:b/>
          <w:noProof w:val="0"/>
          <w:color w:val="17365D"/>
        </w:rPr>
        <w:t>nenodokļu ieņēmumi</w:t>
      </w:r>
      <w:r w:rsidRPr="00D613A6">
        <w:rPr>
          <w:noProof w:val="0"/>
          <w:color w:val="17365D"/>
        </w:rPr>
        <w:t xml:space="preserve"> </w:t>
      </w:r>
      <w:r w:rsidR="00AC26BE" w:rsidRPr="00D613A6">
        <w:rPr>
          <w:noProof w:val="0"/>
          <w:color w:val="17365D"/>
        </w:rPr>
        <w:t xml:space="preserve">ir  1 </w:t>
      </w:r>
      <w:r w:rsidR="00F46CD6" w:rsidRPr="00D613A6">
        <w:rPr>
          <w:noProof w:val="0"/>
          <w:color w:val="17365D"/>
        </w:rPr>
        <w:t>198</w:t>
      </w:r>
      <w:r w:rsidR="00AC26BE" w:rsidRPr="00D613A6">
        <w:rPr>
          <w:noProof w:val="0"/>
          <w:color w:val="17365D"/>
        </w:rPr>
        <w:t>,</w:t>
      </w:r>
      <w:r w:rsidR="00F46CD6" w:rsidRPr="00D613A6">
        <w:rPr>
          <w:noProof w:val="0"/>
          <w:color w:val="17365D"/>
        </w:rPr>
        <w:t>5</w:t>
      </w:r>
      <w:r w:rsidR="00AC26BE" w:rsidRPr="00D613A6">
        <w:rPr>
          <w:noProof w:val="0"/>
          <w:color w:val="17365D"/>
        </w:rPr>
        <w:t xml:space="preserve"> milj. </w:t>
      </w:r>
      <w:r w:rsidR="00AC26BE" w:rsidRPr="00D613A6">
        <w:rPr>
          <w:i/>
          <w:noProof w:val="0"/>
          <w:color w:val="17365D"/>
        </w:rPr>
        <w:t>euro</w:t>
      </w:r>
      <w:r w:rsidR="00AC26BE" w:rsidRPr="00D613A6">
        <w:rPr>
          <w:noProof w:val="0"/>
          <w:color w:val="17365D"/>
        </w:rPr>
        <w:t xml:space="preserve"> vē</w:t>
      </w:r>
      <w:r w:rsidR="00F46CD6" w:rsidRPr="00D613A6">
        <w:rPr>
          <w:noProof w:val="0"/>
          <w:color w:val="17365D"/>
        </w:rPr>
        <w:t>rtībā, kas salīdzinājumā ar 2023</w:t>
      </w:r>
      <w:r w:rsidR="00AC26BE" w:rsidRPr="00D613A6">
        <w:rPr>
          <w:noProof w:val="0"/>
          <w:color w:val="17365D"/>
        </w:rPr>
        <w:t>.</w:t>
      </w:r>
      <w:r w:rsidR="0014695B" w:rsidRPr="00D613A6">
        <w:rPr>
          <w:noProof w:val="0"/>
          <w:color w:val="17365D"/>
        </w:rPr>
        <w:t> </w:t>
      </w:r>
      <w:r w:rsidR="00AC26BE" w:rsidRPr="00D613A6">
        <w:rPr>
          <w:noProof w:val="0"/>
          <w:color w:val="17365D"/>
        </w:rPr>
        <w:t xml:space="preserve">gadu palielinājās par </w:t>
      </w:r>
      <w:r w:rsidR="00F46CD6" w:rsidRPr="00D613A6">
        <w:rPr>
          <w:noProof w:val="0"/>
          <w:color w:val="17365D"/>
        </w:rPr>
        <w:t>163</w:t>
      </w:r>
      <w:r w:rsidR="00AC26BE" w:rsidRPr="00D613A6">
        <w:rPr>
          <w:noProof w:val="0"/>
          <w:color w:val="17365D"/>
        </w:rPr>
        <w:t>,</w:t>
      </w:r>
      <w:r w:rsidR="00F46CD6" w:rsidRPr="00D613A6">
        <w:rPr>
          <w:noProof w:val="0"/>
          <w:color w:val="17365D"/>
        </w:rPr>
        <w:t>7</w:t>
      </w:r>
      <w:r w:rsidR="00AC26BE" w:rsidRPr="00D613A6">
        <w:rPr>
          <w:noProof w:val="0"/>
          <w:color w:val="17365D"/>
        </w:rPr>
        <w:t xml:space="preserve"> milj. </w:t>
      </w:r>
      <w:r w:rsidR="00AC26BE" w:rsidRPr="00D613A6">
        <w:rPr>
          <w:i/>
          <w:noProof w:val="0"/>
          <w:color w:val="17365D"/>
        </w:rPr>
        <w:t>euro</w:t>
      </w:r>
      <w:r w:rsidR="00AC26BE" w:rsidRPr="00D613A6">
        <w:rPr>
          <w:noProof w:val="0"/>
          <w:color w:val="17365D"/>
        </w:rPr>
        <w:t xml:space="preserve"> jeb </w:t>
      </w:r>
      <w:r w:rsidR="00F46CD6" w:rsidRPr="00D613A6">
        <w:rPr>
          <w:noProof w:val="0"/>
          <w:color w:val="17365D"/>
        </w:rPr>
        <w:t>1</w:t>
      </w:r>
      <w:r w:rsidR="00AC26BE" w:rsidRPr="00D613A6">
        <w:rPr>
          <w:noProof w:val="0"/>
          <w:color w:val="17365D"/>
        </w:rPr>
        <w:t>5</w:t>
      </w:r>
      <w:r w:rsidR="00F46CD6" w:rsidRPr="00D613A6">
        <w:rPr>
          <w:noProof w:val="0"/>
          <w:color w:val="17365D"/>
        </w:rPr>
        <w:t>,82</w:t>
      </w:r>
      <w:r w:rsidR="00AC26BE" w:rsidRPr="00D613A6">
        <w:rPr>
          <w:noProof w:val="0"/>
          <w:color w:val="17365D"/>
        </w:rPr>
        <w:t xml:space="preserve"> %, un gada plāna izpilde ir 1</w:t>
      </w:r>
      <w:r w:rsidR="00EA39F6" w:rsidRPr="00D613A6">
        <w:rPr>
          <w:noProof w:val="0"/>
          <w:color w:val="17365D"/>
        </w:rPr>
        <w:t>26</w:t>
      </w:r>
      <w:r w:rsidR="00AC26BE" w:rsidRPr="00D613A6">
        <w:rPr>
          <w:noProof w:val="0"/>
          <w:color w:val="17365D"/>
        </w:rPr>
        <w:t>,</w:t>
      </w:r>
      <w:r w:rsidR="00EA39F6" w:rsidRPr="00D613A6">
        <w:rPr>
          <w:noProof w:val="0"/>
          <w:color w:val="17365D"/>
        </w:rPr>
        <w:t>3</w:t>
      </w:r>
      <w:r w:rsidR="00F46CD6" w:rsidRPr="00D613A6">
        <w:rPr>
          <w:noProof w:val="0"/>
          <w:color w:val="17365D"/>
        </w:rPr>
        <w:t>1</w:t>
      </w:r>
      <w:r w:rsidR="00AC26BE" w:rsidRPr="00D613A6">
        <w:rPr>
          <w:noProof w:val="0"/>
          <w:color w:val="17365D"/>
        </w:rPr>
        <w:t xml:space="preserve"> %.</w:t>
      </w:r>
    </w:p>
    <w:p w14:paraId="25099FAF" w14:textId="56C9CFD9" w:rsidR="00093EF5" w:rsidRPr="00D613A6" w:rsidRDefault="00AC26BE" w:rsidP="003B42B7">
      <w:pPr>
        <w:pStyle w:val="Pamatteksts1"/>
        <w:rPr>
          <w:noProof w:val="0"/>
          <w:color w:val="17365D"/>
        </w:rPr>
      </w:pPr>
      <w:r w:rsidRPr="00D613A6">
        <w:rPr>
          <w:noProof w:val="0"/>
          <w:color w:val="17365D"/>
        </w:rPr>
        <w:t>V</w:t>
      </w:r>
      <w:r w:rsidR="00093EF5" w:rsidRPr="00D613A6">
        <w:rPr>
          <w:noProof w:val="0"/>
          <w:color w:val="17365D"/>
        </w:rPr>
        <w:t xml:space="preserve">alsts </w:t>
      </w:r>
      <w:r w:rsidRPr="00D613A6">
        <w:rPr>
          <w:noProof w:val="0"/>
          <w:color w:val="17365D"/>
        </w:rPr>
        <w:t>pamat</w:t>
      </w:r>
      <w:r w:rsidR="00093EF5" w:rsidRPr="00D613A6">
        <w:rPr>
          <w:noProof w:val="0"/>
          <w:color w:val="17365D"/>
        </w:rPr>
        <w:t xml:space="preserve">budžetā </w:t>
      </w:r>
      <w:r w:rsidRPr="00D613A6">
        <w:rPr>
          <w:noProof w:val="0"/>
          <w:color w:val="17365D"/>
        </w:rPr>
        <w:t xml:space="preserve">nenodokļu ieņēmumi </w:t>
      </w:r>
      <w:r w:rsidR="00093EF5" w:rsidRPr="00D613A6">
        <w:rPr>
          <w:noProof w:val="0"/>
          <w:color w:val="17365D"/>
        </w:rPr>
        <w:t xml:space="preserve">ir </w:t>
      </w:r>
      <w:r w:rsidR="000452CC" w:rsidRPr="00D613A6">
        <w:rPr>
          <w:noProof w:val="0"/>
          <w:color w:val="17365D"/>
        </w:rPr>
        <w:t>1 098</w:t>
      </w:r>
      <w:r w:rsidR="00093EF5" w:rsidRPr="00D613A6">
        <w:rPr>
          <w:noProof w:val="0"/>
          <w:color w:val="17365D"/>
        </w:rPr>
        <w:t>,</w:t>
      </w:r>
      <w:r w:rsidR="000452CC" w:rsidRPr="00D613A6">
        <w:rPr>
          <w:noProof w:val="0"/>
          <w:color w:val="17365D"/>
        </w:rPr>
        <w:t>7</w:t>
      </w:r>
      <w:r w:rsidR="00093EF5" w:rsidRPr="00D613A6">
        <w:rPr>
          <w:noProof w:val="0"/>
          <w:color w:val="17365D"/>
        </w:rPr>
        <w:t> milj. </w:t>
      </w:r>
      <w:r w:rsidR="00093EF5" w:rsidRPr="00D613A6">
        <w:rPr>
          <w:rStyle w:val="Piemrstxt"/>
          <w:rFonts w:ascii="Times New Roman" w:hAnsi="Times New Roman"/>
          <w:i/>
          <w:noProof w:val="0"/>
          <w:color w:val="17365D"/>
          <w:sz w:val="24"/>
        </w:rPr>
        <w:t>euro</w:t>
      </w:r>
      <w:r w:rsidR="003B3908" w:rsidRPr="00D613A6">
        <w:rPr>
          <w:rStyle w:val="Piemrstxt"/>
          <w:rFonts w:ascii="Times New Roman" w:hAnsi="Times New Roman"/>
          <w:i/>
          <w:noProof w:val="0"/>
          <w:color w:val="17365D"/>
          <w:sz w:val="24"/>
        </w:rPr>
        <w:t xml:space="preserve"> </w:t>
      </w:r>
      <w:r w:rsidR="003B3908" w:rsidRPr="00D613A6">
        <w:rPr>
          <w:rStyle w:val="Piemrstxt"/>
          <w:rFonts w:ascii="Times New Roman" w:hAnsi="Times New Roman"/>
          <w:noProof w:val="0"/>
          <w:color w:val="17365D"/>
          <w:sz w:val="24"/>
        </w:rPr>
        <w:t>vērtībā</w:t>
      </w:r>
      <w:r w:rsidR="00093EF5" w:rsidRPr="00D613A6">
        <w:rPr>
          <w:noProof w:val="0"/>
          <w:color w:val="17365D"/>
        </w:rPr>
        <w:t>,</w:t>
      </w:r>
      <w:r w:rsidR="003D19E7" w:rsidRPr="00D613A6">
        <w:rPr>
          <w:noProof w:val="0"/>
          <w:color w:val="17365D"/>
        </w:rPr>
        <w:t xml:space="preserve"> </w:t>
      </w:r>
      <w:r w:rsidR="009704FB" w:rsidRPr="00D613A6">
        <w:rPr>
          <w:noProof w:val="0"/>
          <w:color w:val="17365D"/>
        </w:rPr>
        <w:t>kas</w:t>
      </w:r>
      <w:r w:rsidR="00093EF5" w:rsidRPr="00D613A6">
        <w:rPr>
          <w:noProof w:val="0"/>
          <w:color w:val="17365D"/>
        </w:rPr>
        <w:t xml:space="preserve"> salīdzinājumā ar 20</w:t>
      </w:r>
      <w:r w:rsidR="00872BF7" w:rsidRPr="00D613A6">
        <w:rPr>
          <w:noProof w:val="0"/>
          <w:color w:val="17365D"/>
        </w:rPr>
        <w:t>2</w:t>
      </w:r>
      <w:r w:rsidR="000452CC" w:rsidRPr="00D613A6">
        <w:rPr>
          <w:noProof w:val="0"/>
          <w:color w:val="17365D"/>
        </w:rPr>
        <w:t>3</w:t>
      </w:r>
      <w:r w:rsidR="00EC4186" w:rsidRPr="00D613A6">
        <w:rPr>
          <w:noProof w:val="0"/>
          <w:color w:val="17365D"/>
        </w:rPr>
        <w:t>. gadu</w:t>
      </w:r>
      <w:r w:rsidR="00093EF5" w:rsidRPr="00D613A6">
        <w:rPr>
          <w:noProof w:val="0"/>
          <w:color w:val="17365D"/>
        </w:rPr>
        <w:t xml:space="preserve"> ir par </w:t>
      </w:r>
      <w:r w:rsidR="000452CC" w:rsidRPr="00D613A6">
        <w:rPr>
          <w:noProof w:val="0"/>
          <w:color w:val="17365D"/>
        </w:rPr>
        <w:t>143</w:t>
      </w:r>
      <w:r w:rsidR="00093EF5" w:rsidRPr="00D613A6">
        <w:rPr>
          <w:noProof w:val="0"/>
          <w:color w:val="17365D"/>
        </w:rPr>
        <w:t>,</w:t>
      </w:r>
      <w:r w:rsidR="000452CC" w:rsidRPr="00D613A6">
        <w:rPr>
          <w:noProof w:val="0"/>
          <w:color w:val="17365D"/>
        </w:rPr>
        <w:t>1</w:t>
      </w:r>
      <w:r w:rsidR="00093EF5" w:rsidRPr="00D613A6">
        <w:rPr>
          <w:noProof w:val="0"/>
          <w:color w:val="17365D"/>
        </w:rPr>
        <w:t> milj. </w:t>
      </w:r>
      <w:r w:rsidR="00093EF5" w:rsidRPr="00D613A6">
        <w:rPr>
          <w:rStyle w:val="Piemrstxt"/>
          <w:rFonts w:ascii="Times New Roman" w:hAnsi="Times New Roman"/>
          <w:i/>
          <w:noProof w:val="0"/>
          <w:color w:val="17365D"/>
          <w:sz w:val="24"/>
        </w:rPr>
        <w:t>euro</w:t>
      </w:r>
      <w:r w:rsidR="00EF09CC" w:rsidRPr="00D613A6">
        <w:rPr>
          <w:rStyle w:val="Piemrstxt"/>
          <w:rFonts w:ascii="Times New Roman" w:hAnsi="Times New Roman"/>
          <w:i/>
          <w:noProof w:val="0"/>
          <w:color w:val="17365D"/>
          <w:sz w:val="24"/>
        </w:rPr>
        <w:t xml:space="preserve"> </w:t>
      </w:r>
      <w:r w:rsidR="00093EF5" w:rsidRPr="00D613A6">
        <w:rPr>
          <w:noProof w:val="0"/>
          <w:color w:val="17365D"/>
        </w:rPr>
        <w:t xml:space="preserve">jeb </w:t>
      </w:r>
      <w:r w:rsidR="003D1708" w:rsidRPr="00D613A6">
        <w:rPr>
          <w:noProof w:val="0"/>
          <w:color w:val="17365D"/>
        </w:rPr>
        <w:t>14</w:t>
      </w:r>
      <w:r w:rsidR="00093EF5" w:rsidRPr="00D613A6">
        <w:rPr>
          <w:noProof w:val="0"/>
          <w:color w:val="17365D"/>
        </w:rPr>
        <w:t>,</w:t>
      </w:r>
      <w:r w:rsidR="006149CF" w:rsidRPr="00D613A6">
        <w:rPr>
          <w:noProof w:val="0"/>
          <w:color w:val="17365D"/>
        </w:rPr>
        <w:t>97</w:t>
      </w:r>
      <w:r w:rsidR="00093EF5" w:rsidRPr="00D613A6">
        <w:rPr>
          <w:noProof w:val="0"/>
          <w:color w:val="17365D"/>
        </w:rPr>
        <w:t xml:space="preserve"> % </w:t>
      </w:r>
      <w:r w:rsidR="00D95EB6" w:rsidRPr="00D613A6">
        <w:rPr>
          <w:noProof w:val="0"/>
          <w:color w:val="17365D"/>
        </w:rPr>
        <w:t>vairāk</w:t>
      </w:r>
      <w:r w:rsidR="00093EF5" w:rsidRPr="00D613A6">
        <w:rPr>
          <w:noProof w:val="0"/>
          <w:color w:val="17365D"/>
        </w:rPr>
        <w:t>. 20</w:t>
      </w:r>
      <w:r w:rsidR="00D95EB6" w:rsidRPr="00D613A6">
        <w:rPr>
          <w:noProof w:val="0"/>
          <w:color w:val="17365D"/>
        </w:rPr>
        <w:t>2</w:t>
      </w:r>
      <w:r w:rsidR="000452CC" w:rsidRPr="00D613A6">
        <w:rPr>
          <w:noProof w:val="0"/>
          <w:color w:val="17365D"/>
        </w:rPr>
        <w:t>4</w:t>
      </w:r>
      <w:r w:rsidR="00093EF5" w:rsidRPr="00D613A6">
        <w:rPr>
          <w:noProof w:val="0"/>
          <w:color w:val="17365D"/>
        </w:rPr>
        <w:t xml:space="preserve">. gadā valsts pamatbudžeta nenodokļu ieņēmumi </w:t>
      </w:r>
      <w:r w:rsidR="001176B1" w:rsidRPr="00D613A6">
        <w:rPr>
          <w:noProof w:val="0"/>
          <w:color w:val="17365D"/>
        </w:rPr>
        <w:t xml:space="preserve">salīdzinājumā </w:t>
      </w:r>
      <w:r w:rsidR="00093EF5" w:rsidRPr="00D613A6">
        <w:rPr>
          <w:noProof w:val="0"/>
          <w:color w:val="17365D"/>
        </w:rPr>
        <w:t>ar Likum</w:t>
      </w:r>
      <w:r w:rsidR="001176B1" w:rsidRPr="00D613A6">
        <w:rPr>
          <w:noProof w:val="0"/>
          <w:color w:val="17365D"/>
        </w:rPr>
        <w:t>ā plānoto</w:t>
      </w:r>
      <w:r w:rsidR="00093EF5" w:rsidRPr="00D613A6">
        <w:rPr>
          <w:noProof w:val="0"/>
          <w:color w:val="17365D"/>
        </w:rPr>
        <w:t xml:space="preserve"> ir iekasēti </w:t>
      </w:r>
      <w:r w:rsidR="004E0E13" w:rsidRPr="00D613A6">
        <w:rPr>
          <w:noProof w:val="0"/>
          <w:color w:val="17365D"/>
        </w:rPr>
        <w:t>1</w:t>
      </w:r>
      <w:r w:rsidR="000452CC" w:rsidRPr="00D613A6">
        <w:rPr>
          <w:noProof w:val="0"/>
          <w:color w:val="17365D"/>
        </w:rPr>
        <w:t>26</w:t>
      </w:r>
      <w:r w:rsidR="00093EF5" w:rsidRPr="00D613A6">
        <w:rPr>
          <w:noProof w:val="0"/>
          <w:color w:val="17365D"/>
        </w:rPr>
        <w:t>,</w:t>
      </w:r>
      <w:r w:rsidR="000452CC" w:rsidRPr="00D613A6">
        <w:rPr>
          <w:noProof w:val="0"/>
          <w:color w:val="17365D"/>
        </w:rPr>
        <w:t>7</w:t>
      </w:r>
      <w:r w:rsidR="006149CF" w:rsidRPr="00D613A6">
        <w:rPr>
          <w:noProof w:val="0"/>
          <w:color w:val="17365D"/>
        </w:rPr>
        <w:t>4</w:t>
      </w:r>
      <w:r w:rsidR="00093EF5" w:rsidRPr="00D613A6">
        <w:rPr>
          <w:noProof w:val="0"/>
          <w:color w:val="17365D"/>
        </w:rPr>
        <w:t> % apmērā.</w:t>
      </w:r>
    </w:p>
    <w:p w14:paraId="7D3FC314" w14:textId="07E0D83C" w:rsidR="00093EF5" w:rsidRPr="00D613A6" w:rsidRDefault="00093EF5" w:rsidP="003B42B7">
      <w:pPr>
        <w:pStyle w:val="Pamatteksts1"/>
        <w:rPr>
          <w:noProof w:val="0"/>
          <w:color w:val="17365D"/>
        </w:rPr>
      </w:pPr>
      <w:r w:rsidRPr="00D613A6">
        <w:rPr>
          <w:noProof w:val="0"/>
          <w:color w:val="17365D"/>
        </w:rPr>
        <w:t>Lielākos valsts pamatbudžeta nenodokļu ieņēmumus 20</w:t>
      </w:r>
      <w:r w:rsidR="00D95EB6" w:rsidRPr="00D613A6">
        <w:rPr>
          <w:noProof w:val="0"/>
          <w:color w:val="17365D"/>
        </w:rPr>
        <w:t>2</w:t>
      </w:r>
      <w:r w:rsidR="000452CC" w:rsidRPr="00D613A6">
        <w:rPr>
          <w:noProof w:val="0"/>
          <w:color w:val="17365D"/>
        </w:rPr>
        <w:t>4</w:t>
      </w:r>
      <w:r w:rsidRPr="00D613A6">
        <w:rPr>
          <w:noProof w:val="0"/>
          <w:color w:val="17365D"/>
        </w:rPr>
        <w:t>. gadā veidoja:</w:t>
      </w:r>
    </w:p>
    <w:p w14:paraId="5298AD6C" w14:textId="0B8A3E22" w:rsidR="00726EA0" w:rsidRPr="00D613A6" w:rsidRDefault="00726EA0" w:rsidP="006E1085">
      <w:pPr>
        <w:pStyle w:val="Bullets"/>
        <w:ind w:left="993" w:hanging="426"/>
        <w:rPr>
          <w:noProof w:val="0"/>
          <w:color w:val="17365D"/>
        </w:rPr>
      </w:pPr>
      <w:r w:rsidRPr="00D613A6">
        <w:rPr>
          <w:noProof w:val="0"/>
          <w:color w:val="17365D"/>
        </w:rPr>
        <w:t xml:space="preserve">ieņēmumi no uzņēmējdarbības un īpašuma – palielinājums </w:t>
      </w:r>
      <w:r w:rsidR="000452CC" w:rsidRPr="00D613A6">
        <w:rPr>
          <w:noProof w:val="0"/>
          <w:color w:val="17365D"/>
        </w:rPr>
        <w:t>124</w:t>
      </w:r>
      <w:r w:rsidRPr="00D613A6">
        <w:rPr>
          <w:noProof w:val="0"/>
          <w:color w:val="17365D"/>
        </w:rPr>
        <w:t>,</w:t>
      </w:r>
      <w:r w:rsidR="000452CC" w:rsidRPr="00D613A6">
        <w:rPr>
          <w:noProof w:val="0"/>
          <w:color w:val="17365D"/>
        </w:rPr>
        <w:t>1</w:t>
      </w:r>
      <w:r w:rsidRPr="00D613A6">
        <w:rPr>
          <w:noProof w:val="0"/>
          <w:color w:val="17365D"/>
        </w:rPr>
        <w:t xml:space="preserve"> milj. </w:t>
      </w:r>
      <w:r w:rsidRPr="00D613A6">
        <w:rPr>
          <w:i/>
          <w:noProof w:val="0"/>
          <w:color w:val="17365D"/>
        </w:rPr>
        <w:t xml:space="preserve">euro </w:t>
      </w:r>
      <w:r w:rsidRPr="00D613A6">
        <w:rPr>
          <w:noProof w:val="0"/>
          <w:color w:val="17365D"/>
        </w:rPr>
        <w:t>vērtībā</w:t>
      </w:r>
      <w:r w:rsidR="007D0EF7" w:rsidRPr="00D613A6">
        <w:rPr>
          <w:noProof w:val="0"/>
          <w:color w:val="17365D"/>
        </w:rPr>
        <w:t>,</w:t>
      </w:r>
      <w:r w:rsidRPr="00D613A6">
        <w:rPr>
          <w:noProof w:val="0"/>
          <w:color w:val="17365D"/>
        </w:rPr>
        <w:t xml:space="preserve"> </w:t>
      </w:r>
      <w:r w:rsidR="006447C6" w:rsidRPr="00D613A6">
        <w:rPr>
          <w:noProof w:val="0"/>
          <w:color w:val="17365D"/>
        </w:rPr>
        <w:t xml:space="preserve">kuru </w:t>
      </w:r>
      <w:r w:rsidRPr="00D613A6">
        <w:rPr>
          <w:noProof w:val="0"/>
          <w:color w:val="17365D"/>
        </w:rPr>
        <w:t xml:space="preserve">galvenokārt </w:t>
      </w:r>
      <w:r w:rsidR="007D0EF7" w:rsidRPr="00D613A6">
        <w:rPr>
          <w:noProof w:val="0"/>
          <w:color w:val="17365D"/>
        </w:rPr>
        <w:t>ietekmēja</w:t>
      </w:r>
      <w:r w:rsidRPr="00D613A6">
        <w:rPr>
          <w:noProof w:val="0"/>
          <w:color w:val="17365D"/>
        </w:rPr>
        <w:t xml:space="preserve">: </w:t>
      </w:r>
    </w:p>
    <w:p w14:paraId="09EA3EA9" w14:textId="5A6B6A33" w:rsidR="00AD0882" w:rsidRPr="00D613A6" w:rsidRDefault="00AD0882" w:rsidP="008750F0">
      <w:pPr>
        <w:pStyle w:val="ListParagraph"/>
        <w:numPr>
          <w:ilvl w:val="1"/>
          <w:numId w:val="6"/>
        </w:numPr>
        <w:ind w:left="1418" w:hanging="426"/>
        <w:rPr>
          <w:color w:val="17365D"/>
        </w:rPr>
      </w:pPr>
      <w:r w:rsidRPr="00D613A6">
        <w:rPr>
          <w:color w:val="17365D"/>
        </w:rPr>
        <w:t xml:space="preserve">ieņēmumi no dividendēm (ieņēmumi no valsts (pašvaldību) kapitāla izmantošanas) </w:t>
      </w:r>
      <w:r w:rsidR="00596040" w:rsidRPr="00D613A6">
        <w:rPr>
          <w:color w:val="17365D"/>
        </w:rPr>
        <w:t>3</w:t>
      </w:r>
      <w:r w:rsidR="000452CC" w:rsidRPr="00D613A6">
        <w:rPr>
          <w:color w:val="17365D"/>
        </w:rPr>
        <w:t>93</w:t>
      </w:r>
      <w:r w:rsidRPr="00D613A6">
        <w:rPr>
          <w:color w:val="17365D"/>
        </w:rPr>
        <w:t>,</w:t>
      </w:r>
      <w:r w:rsidR="000452CC" w:rsidRPr="00D613A6">
        <w:rPr>
          <w:color w:val="17365D"/>
        </w:rPr>
        <w:t>4</w:t>
      </w:r>
      <w:r w:rsidRPr="00D613A6">
        <w:rPr>
          <w:color w:val="17365D"/>
        </w:rPr>
        <w:t> </w:t>
      </w:r>
      <w:r w:rsidR="004656E1" w:rsidRPr="00D613A6">
        <w:rPr>
          <w:color w:val="17365D"/>
        </w:rPr>
        <w:t>milj</w:t>
      </w:r>
      <w:r w:rsidR="00B36A61" w:rsidRPr="00D613A6">
        <w:rPr>
          <w:color w:val="17365D"/>
        </w:rPr>
        <w:t>.</w:t>
      </w:r>
      <w:r w:rsidR="004656E1" w:rsidRPr="00D613A6">
        <w:rPr>
          <w:i/>
          <w:color w:val="17365D"/>
        </w:rPr>
        <w:t xml:space="preserve"> </w:t>
      </w:r>
      <w:r w:rsidRPr="00D613A6">
        <w:rPr>
          <w:i/>
          <w:color w:val="17365D"/>
        </w:rPr>
        <w:t>euro</w:t>
      </w:r>
      <w:r w:rsidRPr="00D613A6">
        <w:rPr>
          <w:color w:val="17365D"/>
        </w:rPr>
        <w:t xml:space="preserve"> vērtībā. Lielākos maksājumus par valsts kapitāla izmantošanu veica </w:t>
      </w:r>
      <w:r w:rsidR="00560E87" w:rsidRPr="00D613A6">
        <w:rPr>
          <w:color w:val="17365D"/>
        </w:rPr>
        <w:t>AS “Latvenergo” 212,2 milj. </w:t>
      </w:r>
      <w:r w:rsidR="00560E87" w:rsidRPr="00D613A6">
        <w:rPr>
          <w:i/>
          <w:color w:val="17365D"/>
        </w:rPr>
        <w:t>euro</w:t>
      </w:r>
      <w:r w:rsidR="00560E87" w:rsidRPr="00D613A6">
        <w:rPr>
          <w:color w:val="17365D"/>
        </w:rPr>
        <w:t>,</w:t>
      </w:r>
      <w:r w:rsidR="00D10431">
        <w:rPr>
          <w:color w:val="17365D"/>
        </w:rPr>
        <w:t xml:space="preserve"> </w:t>
      </w:r>
      <w:r w:rsidRPr="00D613A6">
        <w:rPr>
          <w:color w:val="17365D"/>
        </w:rPr>
        <w:t xml:space="preserve">VAS “Latvijas valsts meži” </w:t>
      </w:r>
      <w:r w:rsidR="008A77EE" w:rsidRPr="00D613A6">
        <w:rPr>
          <w:color w:val="17365D"/>
        </w:rPr>
        <w:t>1</w:t>
      </w:r>
      <w:r w:rsidR="00560E87" w:rsidRPr="00D613A6">
        <w:rPr>
          <w:color w:val="17365D"/>
        </w:rPr>
        <w:t>41</w:t>
      </w:r>
      <w:r w:rsidRPr="00D613A6">
        <w:rPr>
          <w:color w:val="17365D"/>
        </w:rPr>
        <w:t>,</w:t>
      </w:r>
      <w:r w:rsidR="00560E87" w:rsidRPr="00D613A6">
        <w:rPr>
          <w:color w:val="17365D"/>
        </w:rPr>
        <w:t>3</w:t>
      </w:r>
      <w:r w:rsidRPr="00D613A6">
        <w:rPr>
          <w:color w:val="17365D"/>
        </w:rPr>
        <w:t xml:space="preserve"> milj. </w:t>
      </w:r>
      <w:r w:rsidRPr="00D613A6">
        <w:rPr>
          <w:i/>
          <w:color w:val="17365D"/>
        </w:rPr>
        <w:t>euro</w:t>
      </w:r>
      <w:r w:rsidRPr="00D613A6">
        <w:rPr>
          <w:color w:val="17365D"/>
        </w:rPr>
        <w:t xml:space="preserve">, </w:t>
      </w:r>
      <w:r w:rsidR="008A77EE" w:rsidRPr="00D613A6">
        <w:rPr>
          <w:color w:val="17365D"/>
        </w:rPr>
        <w:t>SIA “</w:t>
      </w:r>
      <w:r w:rsidR="00560E87" w:rsidRPr="00D613A6">
        <w:rPr>
          <w:color w:val="17365D"/>
        </w:rPr>
        <w:t>Latvijas valsts radio un televīzijas centrs” 14,5</w:t>
      </w:r>
      <w:r w:rsidR="008A77EE" w:rsidRPr="00D613A6">
        <w:rPr>
          <w:color w:val="17365D"/>
        </w:rPr>
        <w:t xml:space="preserve"> milj. </w:t>
      </w:r>
      <w:r w:rsidR="008A77EE" w:rsidRPr="00D613A6">
        <w:rPr>
          <w:i/>
          <w:color w:val="17365D"/>
        </w:rPr>
        <w:t>euro,</w:t>
      </w:r>
      <w:r w:rsidR="008A77EE" w:rsidRPr="00D613A6">
        <w:rPr>
          <w:color w:val="17365D"/>
        </w:rPr>
        <w:t xml:space="preserve"> </w:t>
      </w:r>
      <w:r w:rsidRPr="00D613A6">
        <w:rPr>
          <w:color w:val="17365D"/>
        </w:rPr>
        <w:t>AS “Augstsprieguma tīkls</w:t>
      </w:r>
      <w:r w:rsidR="00300A7F" w:rsidRPr="00D613A6">
        <w:rPr>
          <w:color w:val="17365D"/>
        </w:rPr>
        <w:t>”</w:t>
      </w:r>
      <w:r w:rsidRPr="00D613A6">
        <w:rPr>
          <w:color w:val="17365D"/>
        </w:rPr>
        <w:t xml:space="preserve"> </w:t>
      </w:r>
      <w:r w:rsidR="00560E87" w:rsidRPr="00D613A6">
        <w:rPr>
          <w:color w:val="17365D"/>
        </w:rPr>
        <w:t>10</w:t>
      </w:r>
      <w:r w:rsidRPr="00D613A6">
        <w:rPr>
          <w:color w:val="17365D"/>
        </w:rPr>
        <w:t>,</w:t>
      </w:r>
      <w:r w:rsidR="00560E87" w:rsidRPr="00D613A6">
        <w:rPr>
          <w:color w:val="17365D"/>
        </w:rPr>
        <w:t>1</w:t>
      </w:r>
      <w:r w:rsidR="006E1085" w:rsidRPr="00D613A6">
        <w:rPr>
          <w:color w:val="17365D"/>
        </w:rPr>
        <w:t> </w:t>
      </w:r>
      <w:r w:rsidRPr="00D613A6">
        <w:rPr>
          <w:color w:val="17365D"/>
        </w:rPr>
        <w:t>milj.</w:t>
      </w:r>
      <w:r w:rsidR="006E1085" w:rsidRPr="00D613A6">
        <w:rPr>
          <w:color w:val="17365D"/>
        </w:rPr>
        <w:t> </w:t>
      </w:r>
      <w:r w:rsidRPr="00D613A6">
        <w:rPr>
          <w:i/>
          <w:color w:val="17365D"/>
        </w:rPr>
        <w:t>euro</w:t>
      </w:r>
      <w:r w:rsidRPr="00D613A6">
        <w:rPr>
          <w:color w:val="17365D"/>
        </w:rPr>
        <w:t xml:space="preserve"> </w:t>
      </w:r>
      <w:r w:rsidR="008A77EE" w:rsidRPr="00D613A6">
        <w:rPr>
          <w:color w:val="17365D"/>
        </w:rPr>
        <w:t xml:space="preserve">un </w:t>
      </w:r>
      <w:r w:rsidR="00300A7F" w:rsidRPr="00D613A6">
        <w:rPr>
          <w:color w:val="17365D"/>
        </w:rPr>
        <w:t>VAS</w:t>
      </w:r>
      <w:r w:rsidR="008A77EE" w:rsidRPr="00D613A6">
        <w:rPr>
          <w:color w:val="17365D"/>
        </w:rPr>
        <w:t xml:space="preserve"> </w:t>
      </w:r>
      <w:r w:rsidR="00300A7F" w:rsidRPr="00D613A6">
        <w:rPr>
          <w:color w:val="17365D"/>
        </w:rPr>
        <w:t>“</w:t>
      </w:r>
      <w:r w:rsidR="008A77EE" w:rsidRPr="00D613A6">
        <w:rPr>
          <w:color w:val="17365D"/>
        </w:rPr>
        <w:t>Latvijas Loto</w:t>
      </w:r>
      <w:r w:rsidR="00300A7F" w:rsidRPr="00D613A6">
        <w:rPr>
          <w:color w:val="17365D"/>
        </w:rPr>
        <w:t>”</w:t>
      </w:r>
      <w:r w:rsidR="008A77EE" w:rsidRPr="00D613A6">
        <w:rPr>
          <w:color w:val="17365D"/>
        </w:rPr>
        <w:t xml:space="preserve"> 8</w:t>
      </w:r>
      <w:r w:rsidRPr="00D613A6">
        <w:rPr>
          <w:color w:val="17365D"/>
        </w:rPr>
        <w:t>,</w:t>
      </w:r>
      <w:r w:rsidR="00560E87" w:rsidRPr="00D613A6">
        <w:rPr>
          <w:color w:val="17365D"/>
        </w:rPr>
        <w:t>8</w:t>
      </w:r>
      <w:r w:rsidR="00B3080A" w:rsidRPr="00D613A6">
        <w:rPr>
          <w:color w:val="17365D"/>
        </w:rPr>
        <w:t> </w:t>
      </w:r>
      <w:r w:rsidRPr="00D613A6">
        <w:rPr>
          <w:color w:val="17365D"/>
        </w:rPr>
        <w:t xml:space="preserve">milj. </w:t>
      </w:r>
      <w:r w:rsidRPr="00D613A6">
        <w:rPr>
          <w:i/>
          <w:color w:val="17365D"/>
        </w:rPr>
        <w:t>euro</w:t>
      </w:r>
      <w:r w:rsidRPr="00D613A6">
        <w:rPr>
          <w:color w:val="17365D"/>
        </w:rPr>
        <w:t>;</w:t>
      </w:r>
    </w:p>
    <w:p w14:paraId="5E26A644" w14:textId="4C3DBACA" w:rsidR="00726EA0" w:rsidRPr="00D613A6" w:rsidRDefault="00F949F6" w:rsidP="008750F0">
      <w:pPr>
        <w:pStyle w:val="Pamatteksts1"/>
        <w:numPr>
          <w:ilvl w:val="1"/>
          <w:numId w:val="6"/>
        </w:numPr>
        <w:ind w:left="1418" w:hanging="426"/>
        <w:rPr>
          <w:noProof w:val="0"/>
          <w:color w:val="17365D"/>
        </w:rPr>
      </w:pPr>
      <w:r w:rsidRPr="00D613A6">
        <w:rPr>
          <w:noProof w:val="0"/>
          <w:color w:val="17365D"/>
        </w:rPr>
        <w:t>p</w:t>
      </w:r>
      <w:r w:rsidR="00596040" w:rsidRPr="00D613A6">
        <w:rPr>
          <w:noProof w:val="0"/>
          <w:color w:val="17365D"/>
        </w:rPr>
        <w:t>rocentu ieņēmumi par depozītiem, kontu atlikumiem, valsts parāda vērts</w:t>
      </w:r>
      <w:r w:rsidR="000452CC" w:rsidRPr="00D613A6">
        <w:rPr>
          <w:noProof w:val="0"/>
          <w:color w:val="17365D"/>
        </w:rPr>
        <w:t>papīriem un atlikto maksājumu 104,0</w:t>
      </w:r>
      <w:r w:rsidR="00596040" w:rsidRPr="00D613A6">
        <w:rPr>
          <w:noProof w:val="0"/>
          <w:color w:val="17365D"/>
        </w:rPr>
        <w:t> milj. </w:t>
      </w:r>
      <w:r w:rsidR="00596040" w:rsidRPr="00D613A6">
        <w:rPr>
          <w:i/>
          <w:noProof w:val="0"/>
          <w:color w:val="17365D"/>
        </w:rPr>
        <w:t>euro</w:t>
      </w:r>
      <w:r w:rsidR="00596040" w:rsidRPr="00D613A6">
        <w:rPr>
          <w:noProof w:val="0"/>
          <w:color w:val="17365D"/>
        </w:rPr>
        <w:t xml:space="preserve"> vērtībā</w:t>
      </w:r>
      <w:r w:rsidR="000452CC" w:rsidRPr="00D613A6">
        <w:rPr>
          <w:noProof w:val="0"/>
          <w:color w:val="17365D"/>
        </w:rPr>
        <w:t>;</w:t>
      </w:r>
    </w:p>
    <w:p w14:paraId="6F84F48A" w14:textId="1B674FE5" w:rsidR="000452CC" w:rsidRPr="00D613A6" w:rsidRDefault="000452CC" w:rsidP="008750F0">
      <w:pPr>
        <w:pStyle w:val="Pamatteksts1"/>
        <w:numPr>
          <w:ilvl w:val="1"/>
          <w:numId w:val="6"/>
        </w:numPr>
        <w:ind w:left="1418" w:hanging="426"/>
        <w:rPr>
          <w:noProof w:val="0"/>
          <w:color w:val="17365D"/>
        </w:rPr>
      </w:pPr>
      <w:r w:rsidRPr="00D613A6">
        <w:rPr>
          <w:noProof w:val="0"/>
          <w:color w:val="17365D"/>
        </w:rPr>
        <w:t>procentu ieņēmumi par aizdevumiem 90,7 milj. </w:t>
      </w:r>
      <w:r w:rsidRPr="00D613A6">
        <w:rPr>
          <w:i/>
          <w:noProof w:val="0"/>
          <w:color w:val="17365D"/>
        </w:rPr>
        <w:t>euro</w:t>
      </w:r>
      <w:r w:rsidRPr="00D613A6">
        <w:rPr>
          <w:noProof w:val="0"/>
          <w:color w:val="17365D"/>
        </w:rPr>
        <w:t xml:space="preserve"> vērtībā.</w:t>
      </w:r>
    </w:p>
    <w:p w14:paraId="073ABEF0" w14:textId="237DA63D" w:rsidR="007D0EF7" w:rsidRPr="00D613A6" w:rsidRDefault="007D0EF7" w:rsidP="008750F0">
      <w:pPr>
        <w:pStyle w:val="Bullets"/>
        <w:numPr>
          <w:ilvl w:val="0"/>
          <w:numId w:val="6"/>
        </w:numPr>
        <w:ind w:left="993" w:hanging="426"/>
        <w:rPr>
          <w:noProof w:val="0"/>
          <w:color w:val="17365D"/>
        </w:rPr>
      </w:pPr>
      <w:r w:rsidRPr="00D613A6">
        <w:rPr>
          <w:noProof w:val="0"/>
          <w:color w:val="17365D"/>
        </w:rPr>
        <w:t>valsts nodevas un kancelejas nodeva</w:t>
      </w:r>
      <w:r w:rsidR="006447C6" w:rsidRPr="00D613A6">
        <w:rPr>
          <w:noProof w:val="0"/>
          <w:color w:val="17365D"/>
        </w:rPr>
        <w:t>s</w:t>
      </w:r>
      <w:r w:rsidRPr="00D613A6">
        <w:rPr>
          <w:noProof w:val="0"/>
          <w:color w:val="17365D"/>
        </w:rPr>
        <w:t xml:space="preserve"> – palielinājums </w:t>
      </w:r>
      <w:r w:rsidR="004E3D9D" w:rsidRPr="00D613A6">
        <w:rPr>
          <w:noProof w:val="0"/>
          <w:color w:val="17365D"/>
        </w:rPr>
        <w:t>35</w:t>
      </w:r>
      <w:r w:rsidRPr="00D613A6">
        <w:rPr>
          <w:noProof w:val="0"/>
          <w:color w:val="17365D"/>
        </w:rPr>
        <w:t>,</w:t>
      </w:r>
      <w:r w:rsidR="004E3D9D" w:rsidRPr="00D613A6">
        <w:rPr>
          <w:noProof w:val="0"/>
          <w:color w:val="17365D"/>
        </w:rPr>
        <w:t>1</w:t>
      </w:r>
      <w:r w:rsidR="00830C9C" w:rsidRPr="00D613A6">
        <w:rPr>
          <w:noProof w:val="0"/>
          <w:color w:val="17365D"/>
        </w:rPr>
        <w:t> </w:t>
      </w:r>
      <w:r w:rsidRPr="00D613A6">
        <w:rPr>
          <w:noProof w:val="0"/>
          <w:color w:val="17365D"/>
        </w:rPr>
        <w:t>milj. </w:t>
      </w:r>
      <w:r w:rsidRPr="00D613A6">
        <w:rPr>
          <w:i/>
          <w:noProof w:val="0"/>
          <w:color w:val="17365D"/>
        </w:rPr>
        <w:t xml:space="preserve">euro </w:t>
      </w:r>
      <w:r w:rsidRPr="00D613A6">
        <w:rPr>
          <w:noProof w:val="0"/>
          <w:color w:val="17365D"/>
        </w:rPr>
        <w:t>vērtībā,</w:t>
      </w:r>
      <w:r w:rsidR="006447C6" w:rsidRPr="00D613A6">
        <w:rPr>
          <w:noProof w:val="0"/>
          <w:color w:val="17365D"/>
        </w:rPr>
        <w:t xml:space="preserve"> kuru</w:t>
      </w:r>
      <w:r w:rsidRPr="00D613A6">
        <w:rPr>
          <w:noProof w:val="0"/>
          <w:color w:val="17365D"/>
        </w:rPr>
        <w:t xml:space="preserve"> galvenokārt ietekmēja: </w:t>
      </w:r>
    </w:p>
    <w:p w14:paraId="26174F40" w14:textId="7A88B49F" w:rsidR="006A28A2" w:rsidRPr="00D613A6" w:rsidRDefault="006A28A2" w:rsidP="00173B6B">
      <w:pPr>
        <w:pStyle w:val="Pamatteksts1"/>
        <w:numPr>
          <w:ilvl w:val="1"/>
          <w:numId w:val="6"/>
        </w:numPr>
        <w:ind w:left="1418" w:hanging="425"/>
        <w:rPr>
          <w:noProof w:val="0"/>
          <w:color w:val="17365D"/>
        </w:rPr>
      </w:pPr>
      <w:r w:rsidRPr="00D613A6">
        <w:rPr>
          <w:noProof w:val="0"/>
          <w:color w:val="17365D"/>
        </w:rPr>
        <w:t>valsts nodevas par valsts sniegto nodrošinājumu un juridisk</w:t>
      </w:r>
      <w:r w:rsidR="004E3D9D" w:rsidRPr="00D613A6">
        <w:rPr>
          <w:noProof w:val="0"/>
          <w:color w:val="17365D"/>
        </w:rPr>
        <w:t>ajiem un citiem pakalpojumiem 88,9</w:t>
      </w:r>
      <w:r w:rsidRPr="00D613A6">
        <w:rPr>
          <w:noProof w:val="0"/>
          <w:color w:val="17365D"/>
        </w:rPr>
        <w:t xml:space="preserve"> milj. </w:t>
      </w:r>
      <w:r w:rsidRPr="00D613A6">
        <w:rPr>
          <w:i/>
          <w:noProof w:val="0"/>
          <w:color w:val="17365D"/>
        </w:rPr>
        <w:t>euro</w:t>
      </w:r>
      <w:r w:rsidR="00B5303F" w:rsidRPr="00D613A6">
        <w:rPr>
          <w:i/>
          <w:noProof w:val="0"/>
          <w:color w:val="17365D"/>
        </w:rPr>
        <w:t xml:space="preserve">, </w:t>
      </w:r>
      <w:r w:rsidR="00B5303F" w:rsidRPr="00D613A6">
        <w:rPr>
          <w:noProof w:val="0"/>
          <w:color w:val="17365D"/>
        </w:rPr>
        <w:t>no tām</w:t>
      </w:r>
      <w:r w:rsidR="00B5303F" w:rsidRPr="00D613A6">
        <w:rPr>
          <w:i/>
          <w:noProof w:val="0"/>
          <w:color w:val="17365D"/>
        </w:rPr>
        <w:t xml:space="preserve"> </w:t>
      </w:r>
      <w:r w:rsidR="00B5303F" w:rsidRPr="00D613A6">
        <w:rPr>
          <w:noProof w:val="0"/>
          <w:color w:val="17365D"/>
        </w:rPr>
        <w:t xml:space="preserve">būtiskākie maksājumi </w:t>
      </w:r>
      <w:r w:rsidR="00F949F6" w:rsidRPr="00D613A6">
        <w:rPr>
          <w:noProof w:val="0"/>
          <w:color w:val="17365D"/>
        </w:rPr>
        <w:t>veikti</w:t>
      </w:r>
      <w:r w:rsidR="00B5303F" w:rsidRPr="00D613A6">
        <w:rPr>
          <w:noProof w:val="0"/>
          <w:color w:val="17365D"/>
        </w:rPr>
        <w:t xml:space="preserve"> par nodev</w:t>
      </w:r>
      <w:r w:rsidR="00F949F6" w:rsidRPr="00D613A6">
        <w:rPr>
          <w:noProof w:val="0"/>
          <w:color w:val="17365D"/>
        </w:rPr>
        <w:t>u</w:t>
      </w:r>
      <w:r w:rsidR="00B5303F" w:rsidRPr="00D613A6">
        <w:rPr>
          <w:noProof w:val="0"/>
          <w:color w:val="17365D"/>
        </w:rPr>
        <w:t xml:space="preserve"> par īpašuma tiesību un ķīlas tiesību nostiprināšanu zemesgrāmatā, kas iekasēta no fiziskām personām, izņemot mantojumus un dāvinājumus 2</w:t>
      </w:r>
      <w:r w:rsidR="004E3D9D" w:rsidRPr="00D613A6">
        <w:rPr>
          <w:noProof w:val="0"/>
          <w:color w:val="17365D"/>
        </w:rPr>
        <w:t>2</w:t>
      </w:r>
      <w:r w:rsidR="00B5303F" w:rsidRPr="00D613A6">
        <w:rPr>
          <w:noProof w:val="0"/>
          <w:color w:val="17365D"/>
        </w:rPr>
        <w:t>,</w:t>
      </w:r>
      <w:r w:rsidR="004E3D9D" w:rsidRPr="00D613A6">
        <w:rPr>
          <w:noProof w:val="0"/>
          <w:color w:val="17365D"/>
        </w:rPr>
        <w:t>4</w:t>
      </w:r>
      <w:r w:rsidR="00B5303F" w:rsidRPr="00D613A6">
        <w:rPr>
          <w:noProof w:val="0"/>
          <w:color w:val="17365D"/>
        </w:rPr>
        <w:t xml:space="preserve"> milj. </w:t>
      </w:r>
      <w:r w:rsidR="00B5303F" w:rsidRPr="00D613A6">
        <w:rPr>
          <w:i/>
          <w:noProof w:val="0"/>
          <w:color w:val="17365D"/>
        </w:rPr>
        <w:t>euro</w:t>
      </w:r>
      <w:r w:rsidR="00B5303F" w:rsidRPr="00D613A6">
        <w:rPr>
          <w:noProof w:val="0"/>
          <w:color w:val="17365D"/>
        </w:rPr>
        <w:t xml:space="preserve">, </w:t>
      </w:r>
      <w:r w:rsidR="00F949F6" w:rsidRPr="00D613A6">
        <w:rPr>
          <w:noProof w:val="0"/>
          <w:color w:val="17365D"/>
        </w:rPr>
        <w:t xml:space="preserve">par </w:t>
      </w:r>
      <w:r w:rsidR="00B5303F" w:rsidRPr="00D613A6">
        <w:rPr>
          <w:noProof w:val="0"/>
          <w:color w:val="17365D"/>
        </w:rPr>
        <w:t>nodev</w:t>
      </w:r>
      <w:r w:rsidR="00F949F6" w:rsidRPr="00D613A6">
        <w:rPr>
          <w:noProof w:val="0"/>
          <w:color w:val="17365D"/>
        </w:rPr>
        <w:t>u</w:t>
      </w:r>
      <w:r w:rsidR="00B5303F" w:rsidRPr="00D613A6">
        <w:rPr>
          <w:noProof w:val="0"/>
          <w:color w:val="17365D"/>
        </w:rPr>
        <w:t xml:space="preserve"> par īpašuma tiesību un ķīlas tiesību nostiprināšanu zemesgrāmatā, kas iekasēta no juridiskām personām, izņemot</w:t>
      </w:r>
      <w:r w:rsidR="004E3D9D" w:rsidRPr="00D613A6">
        <w:rPr>
          <w:noProof w:val="0"/>
          <w:color w:val="17365D"/>
        </w:rPr>
        <w:t xml:space="preserve"> mantojumus un dāvinājumus 19,9</w:t>
      </w:r>
      <w:r w:rsidR="00300A7F" w:rsidRPr="00D613A6">
        <w:rPr>
          <w:noProof w:val="0"/>
          <w:color w:val="17365D"/>
        </w:rPr>
        <w:t> </w:t>
      </w:r>
      <w:r w:rsidR="00B5303F" w:rsidRPr="00D613A6">
        <w:rPr>
          <w:noProof w:val="0"/>
          <w:color w:val="17365D"/>
        </w:rPr>
        <w:t>milj. </w:t>
      </w:r>
      <w:r w:rsidR="00B5303F" w:rsidRPr="00D613A6">
        <w:rPr>
          <w:i/>
          <w:noProof w:val="0"/>
          <w:color w:val="17365D"/>
        </w:rPr>
        <w:t>euro</w:t>
      </w:r>
      <w:r w:rsidR="00B5303F" w:rsidRPr="00D613A6">
        <w:rPr>
          <w:noProof w:val="0"/>
          <w:color w:val="17365D"/>
        </w:rPr>
        <w:t xml:space="preserve">, </w:t>
      </w:r>
      <w:r w:rsidR="004E3D9D" w:rsidRPr="00D613A6">
        <w:rPr>
          <w:noProof w:val="0"/>
          <w:color w:val="17365D"/>
        </w:rPr>
        <w:t xml:space="preserve">nodeva par Latvijas Republikas pasu un citu personu apliecinošu un tiesību apliecinošu dokumentu izsniegšanu </w:t>
      </w:r>
      <w:r w:rsidR="00213E79" w:rsidRPr="00D613A6">
        <w:rPr>
          <w:noProof w:val="0"/>
          <w:color w:val="17365D"/>
        </w:rPr>
        <w:t>19,7</w:t>
      </w:r>
      <w:r w:rsidR="00B5303F" w:rsidRPr="00D613A6">
        <w:rPr>
          <w:color w:val="17365D"/>
        </w:rPr>
        <w:t xml:space="preserve"> </w:t>
      </w:r>
      <w:r w:rsidR="00B5303F" w:rsidRPr="00D613A6">
        <w:rPr>
          <w:noProof w:val="0"/>
          <w:color w:val="17365D"/>
        </w:rPr>
        <w:t xml:space="preserve">milj. </w:t>
      </w:r>
      <w:r w:rsidR="00B5303F" w:rsidRPr="00D613A6">
        <w:rPr>
          <w:i/>
          <w:noProof w:val="0"/>
          <w:color w:val="17365D"/>
        </w:rPr>
        <w:t>euro</w:t>
      </w:r>
      <w:r w:rsidR="00B5303F" w:rsidRPr="00D613A6">
        <w:rPr>
          <w:noProof w:val="0"/>
          <w:color w:val="17365D"/>
        </w:rPr>
        <w:t>;</w:t>
      </w:r>
    </w:p>
    <w:p w14:paraId="089FE9AF" w14:textId="5F712727" w:rsidR="007D0EF7" w:rsidRPr="00D613A6" w:rsidRDefault="003E0883" w:rsidP="00173B6B">
      <w:pPr>
        <w:pStyle w:val="Pamatteksts1"/>
        <w:numPr>
          <w:ilvl w:val="1"/>
          <w:numId w:val="6"/>
        </w:numPr>
        <w:ind w:left="1418"/>
        <w:rPr>
          <w:noProof w:val="0"/>
          <w:color w:val="17365D"/>
        </w:rPr>
      </w:pPr>
      <w:r w:rsidRPr="00D613A6">
        <w:rPr>
          <w:noProof w:val="0"/>
          <w:color w:val="17365D"/>
        </w:rPr>
        <w:t xml:space="preserve">speciāliem mērķiem paredzētās valsts nodevas </w:t>
      </w:r>
      <w:r w:rsidR="00F949F6" w:rsidRPr="00D613A6">
        <w:rPr>
          <w:noProof w:val="0"/>
          <w:color w:val="17365D"/>
        </w:rPr>
        <w:t>1</w:t>
      </w:r>
      <w:r w:rsidR="00213E79" w:rsidRPr="00D613A6">
        <w:rPr>
          <w:noProof w:val="0"/>
          <w:color w:val="17365D"/>
        </w:rPr>
        <w:t>49</w:t>
      </w:r>
      <w:r w:rsidRPr="00D613A6">
        <w:rPr>
          <w:noProof w:val="0"/>
          <w:color w:val="17365D"/>
        </w:rPr>
        <w:t>,</w:t>
      </w:r>
      <w:r w:rsidR="00F949F6" w:rsidRPr="00D613A6">
        <w:rPr>
          <w:noProof w:val="0"/>
          <w:color w:val="17365D"/>
        </w:rPr>
        <w:t>8</w:t>
      </w:r>
      <w:r w:rsidRPr="00D613A6">
        <w:rPr>
          <w:noProof w:val="0"/>
          <w:color w:val="17365D"/>
        </w:rPr>
        <w:t> milj.</w:t>
      </w:r>
      <w:r w:rsidR="0068560C" w:rsidRPr="00D613A6">
        <w:rPr>
          <w:noProof w:val="0"/>
          <w:color w:val="17365D"/>
        </w:rPr>
        <w:t xml:space="preserve"> </w:t>
      </w:r>
      <w:r w:rsidRPr="00D613A6">
        <w:rPr>
          <w:i/>
          <w:noProof w:val="0"/>
          <w:color w:val="17365D"/>
        </w:rPr>
        <w:t>euro</w:t>
      </w:r>
      <w:r w:rsidRPr="00D613A6">
        <w:rPr>
          <w:noProof w:val="0"/>
          <w:color w:val="17365D"/>
        </w:rPr>
        <w:t xml:space="preserve"> vērtībā</w:t>
      </w:r>
      <w:r w:rsidR="00300A7F" w:rsidRPr="00D613A6">
        <w:rPr>
          <w:noProof w:val="0"/>
          <w:color w:val="17365D"/>
        </w:rPr>
        <w:t>,</w:t>
      </w:r>
      <w:r w:rsidRPr="00D613A6">
        <w:rPr>
          <w:color w:val="17365D"/>
        </w:rPr>
        <w:t xml:space="preserve"> </w:t>
      </w:r>
      <w:r w:rsidRPr="00D613A6">
        <w:rPr>
          <w:noProof w:val="0"/>
          <w:color w:val="17365D"/>
        </w:rPr>
        <w:t>no kur</w:t>
      </w:r>
      <w:r w:rsidR="00300A7F" w:rsidRPr="00D613A6">
        <w:rPr>
          <w:noProof w:val="0"/>
          <w:color w:val="17365D"/>
        </w:rPr>
        <w:t>ā</w:t>
      </w:r>
      <w:r w:rsidRPr="00D613A6">
        <w:rPr>
          <w:noProof w:val="0"/>
          <w:color w:val="17365D"/>
        </w:rPr>
        <w:t>m būtiskākie nodevu maksājumi veikti</w:t>
      </w:r>
      <w:r w:rsidR="00FD4F29" w:rsidRPr="00D613A6">
        <w:rPr>
          <w:noProof w:val="0"/>
          <w:color w:val="17365D"/>
        </w:rPr>
        <w:t>:</w:t>
      </w:r>
      <w:r w:rsidR="00173B6B" w:rsidRPr="00D613A6">
        <w:rPr>
          <w:noProof w:val="0"/>
          <w:color w:val="17365D"/>
        </w:rPr>
        <w:t xml:space="preserve"> hipotekārā kredīta ņēmēju aizsardzības nodevai 97,5 milj. </w:t>
      </w:r>
      <w:r w:rsidR="00173B6B" w:rsidRPr="00D613A6">
        <w:rPr>
          <w:i/>
          <w:noProof w:val="0"/>
          <w:color w:val="17365D"/>
        </w:rPr>
        <w:t>euro</w:t>
      </w:r>
      <w:r w:rsidR="001B6E89" w:rsidRPr="00D613A6">
        <w:rPr>
          <w:noProof w:val="0"/>
          <w:color w:val="17365D"/>
        </w:rPr>
        <w:t xml:space="preserve"> un</w:t>
      </w:r>
      <w:r w:rsidR="00F949F6" w:rsidRPr="00D613A6">
        <w:rPr>
          <w:noProof w:val="0"/>
          <w:color w:val="17365D"/>
        </w:rPr>
        <w:t xml:space="preserve"> </w:t>
      </w:r>
      <w:r w:rsidR="00FD4F29" w:rsidRPr="00D613A6">
        <w:rPr>
          <w:noProof w:val="0"/>
          <w:color w:val="17365D"/>
        </w:rPr>
        <w:t>autoceļu lietošanas nodevai 30,</w:t>
      </w:r>
      <w:r w:rsidR="00EA39F6" w:rsidRPr="00D613A6">
        <w:rPr>
          <w:noProof w:val="0"/>
          <w:color w:val="17365D"/>
        </w:rPr>
        <w:t>2</w:t>
      </w:r>
      <w:r w:rsidR="00FD4F29" w:rsidRPr="00D613A6">
        <w:rPr>
          <w:color w:val="17365D"/>
        </w:rPr>
        <w:t> </w:t>
      </w:r>
      <w:r w:rsidR="00FD4F29" w:rsidRPr="00D613A6">
        <w:rPr>
          <w:noProof w:val="0"/>
          <w:color w:val="17365D"/>
        </w:rPr>
        <w:t>milj. </w:t>
      </w:r>
      <w:r w:rsidR="00FD4F29" w:rsidRPr="00D613A6">
        <w:rPr>
          <w:i/>
          <w:noProof w:val="0"/>
          <w:color w:val="17365D"/>
        </w:rPr>
        <w:t>euro</w:t>
      </w:r>
      <w:r w:rsidR="007D0EF7" w:rsidRPr="00D613A6">
        <w:rPr>
          <w:noProof w:val="0"/>
          <w:color w:val="17365D"/>
        </w:rPr>
        <w:t>;</w:t>
      </w:r>
    </w:p>
    <w:p w14:paraId="44F1D137" w14:textId="3C4A1532" w:rsidR="007D0EF7" w:rsidRPr="00D613A6" w:rsidRDefault="00235478" w:rsidP="008750F0">
      <w:pPr>
        <w:pStyle w:val="Bullets"/>
        <w:numPr>
          <w:ilvl w:val="0"/>
          <w:numId w:val="6"/>
        </w:numPr>
        <w:ind w:left="993" w:hanging="426"/>
        <w:rPr>
          <w:noProof w:val="0"/>
          <w:color w:val="17365D"/>
        </w:rPr>
      </w:pPr>
      <w:r w:rsidRPr="00D613A6">
        <w:rPr>
          <w:noProof w:val="0"/>
          <w:color w:val="17365D"/>
        </w:rPr>
        <w:t xml:space="preserve">pārējie nenodokļu ieņēmumi – </w:t>
      </w:r>
      <w:r w:rsidR="00213E79" w:rsidRPr="00D613A6">
        <w:rPr>
          <w:noProof w:val="0"/>
          <w:color w:val="17365D"/>
        </w:rPr>
        <w:t>samazinājums</w:t>
      </w:r>
      <w:r w:rsidRPr="00D613A6">
        <w:rPr>
          <w:noProof w:val="0"/>
          <w:color w:val="17365D"/>
        </w:rPr>
        <w:t xml:space="preserve"> </w:t>
      </w:r>
      <w:r w:rsidR="00213E79" w:rsidRPr="00D613A6">
        <w:rPr>
          <w:noProof w:val="0"/>
          <w:color w:val="17365D"/>
        </w:rPr>
        <w:t>24</w:t>
      </w:r>
      <w:r w:rsidRPr="00D613A6">
        <w:rPr>
          <w:noProof w:val="0"/>
          <w:color w:val="17365D"/>
        </w:rPr>
        <w:t>,</w:t>
      </w:r>
      <w:r w:rsidR="00213E79" w:rsidRPr="00D613A6">
        <w:rPr>
          <w:noProof w:val="0"/>
          <w:color w:val="17365D"/>
        </w:rPr>
        <w:t>8</w:t>
      </w:r>
      <w:r w:rsidR="00736531" w:rsidRPr="00D613A6">
        <w:rPr>
          <w:noProof w:val="0"/>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vērtībā, </w:t>
      </w:r>
      <w:r w:rsidR="006447C6" w:rsidRPr="00D613A6">
        <w:rPr>
          <w:noProof w:val="0"/>
          <w:color w:val="17365D"/>
        </w:rPr>
        <w:t xml:space="preserve">kuru </w:t>
      </w:r>
      <w:r w:rsidRPr="00D613A6">
        <w:rPr>
          <w:noProof w:val="0"/>
          <w:color w:val="17365D"/>
        </w:rPr>
        <w:t>galvenokārt ietekmēja:</w:t>
      </w:r>
    </w:p>
    <w:p w14:paraId="5136BAE1" w14:textId="6DAEE3A9" w:rsidR="00235478" w:rsidRPr="00D613A6" w:rsidRDefault="0068560C" w:rsidP="008750F0">
      <w:pPr>
        <w:pStyle w:val="Pamatteksts1"/>
        <w:numPr>
          <w:ilvl w:val="1"/>
          <w:numId w:val="6"/>
        </w:numPr>
        <w:ind w:left="1418" w:hanging="426"/>
        <w:rPr>
          <w:noProof w:val="0"/>
          <w:color w:val="17365D"/>
        </w:rPr>
      </w:pPr>
      <w:r w:rsidRPr="00D613A6">
        <w:rPr>
          <w:noProof w:val="0"/>
          <w:color w:val="17365D"/>
        </w:rPr>
        <w:t xml:space="preserve">ieņēmumi no konfiscēto noziedzīgi iegūto līdzekļu un papildsoda </w:t>
      </w:r>
      <w:r w:rsidR="00300A7F" w:rsidRPr="00D613A6">
        <w:rPr>
          <w:noProof w:val="0"/>
          <w:color w:val="17365D"/>
        </w:rPr>
        <w:t>–</w:t>
      </w:r>
      <w:r w:rsidRPr="00D613A6">
        <w:rPr>
          <w:noProof w:val="0"/>
          <w:color w:val="17365D"/>
        </w:rPr>
        <w:t xml:space="preserve"> mantas konfiskācija </w:t>
      </w:r>
      <w:r w:rsidR="00300A7F" w:rsidRPr="00D613A6">
        <w:rPr>
          <w:noProof w:val="0"/>
          <w:color w:val="17365D"/>
        </w:rPr>
        <w:t>–</w:t>
      </w:r>
      <w:r w:rsidRPr="00D613A6">
        <w:rPr>
          <w:noProof w:val="0"/>
          <w:color w:val="17365D"/>
        </w:rPr>
        <w:t xml:space="preserve"> realizācijas </w:t>
      </w:r>
      <w:r w:rsidR="00487530" w:rsidRPr="00D613A6">
        <w:rPr>
          <w:noProof w:val="0"/>
          <w:color w:val="17365D"/>
        </w:rPr>
        <w:t>42</w:t>
      </w:r>
      <w:r w:rsidR="009D297E" w:rsidRPr="00D613A6">
        <w:rPr>
          <w:noProof w:val="0"/>
          <w:color w:val="17365D"/>
        </w:rPr>
        <w:t>,</w:t>
      </w:r>
      <w:r w:rsidR="00487530" w:rsidRPr="00D613A6">
        <w:rPr>
          <w:noProof w:val="0"/>
          <w:color w:val="17365D"/>
        </w:rPr>
        <w:t>1</w:t>
      </w:r>
      <w:r w:rsidR="009D297E" w:rsidRPr="00D613A6">
        <w:rPr>
          <w:noProof w:val="0"/>
          <w:color w:val="17365D"/>
        </w:rPr>
        <w:t> milj. </w:t>
      </w:r>
      <w:r w:rsidR="009D297E" w:rsidRPr="00D613A6">
        <w:rPr>
          <w:i/>
          <w:noProof w:val="0"/>
          <w:color w:val="17365D"/>
        </w:rPr>
        <w:t>euro</w:t>
      </w:r>
      <w:r w:rsidR="009D297E" w:rsidRPr="00D613A6">
        <w:rPr>
          <w:noProof w:val="0"/>
          <w:color w:val="17365D"/>
        </w:rPr>
        <w:t>;</w:t>
      </w:r>
    </w:p>
    <w:p w14:paraId="2E7AA5C0" w14:textId="57C56203" w:rsidR="0068560C" w:rsidRPr="00D613A6" w:rsidRDefault="0068560C" w:rsidP="008750F0">
      <w:pPr>
        <w:pStyle w:val="Pamatteksts1"/>
        <w:numPr>
          <w:ilvl w:val="1"/>
          <w:numId w:val="6"/>
        </w:numPr>
        <w:ind w:left="1418" w:hanging="426"/>
        <w:rPr>
          <w:noProof w:val="0"/>
          <w:color w:val="17365D"/>
        </w:rPr>
      </w:pPr>
      <w:r w:rsidRPr="00D613A6">
        <w:rPr>
          <w:noProof w:val="0"/>
          <w:color w:val="17365D"/>
        </w:rPr>
        <w:t xml:space="preserve">ieņēmumi no budžeta iestādēm atmaksātiem pārējiem debitoru parādiem </w:t>
      </w:r>
      <w:r w:rsidR="00487530" w:rsidRPr="00D613A6">
        <w:rPr>
          <w:noProof w:val="0"/>
          <w:color w:val="17365D"/>
        </w:rPr>
        <w:t>20</w:t>
      </w:r>
      <w:r w:rsidRPr="00D613A6">
        <w:rPr>
          <w:noProof w:val="0"/>
          <w:color w:val="17365D"/>
        </w:rPr>
        <w:t>,</w:t>
      </w:r>
      <w:r w:rsidR="00487530" w:rsidRPr="00D613A6">
        <w:rPr>
          <w:noProof w:val="0"/>
          <w:color w:val="17365D"/>
        </w:rPr>
        <w:t>3</w:t>
      </w:r>
      <w:r w:rsidRPr="00D613A6">
        <w:rPr>
          <w:color w:val="17365D"/>
        </w:rPr>
        <w:t> </w:t>
      </w:r>
      <w:r w:rsidR="006E1085" w:rsidRPr="00D613A6">
        <w:rPr>
          <w:noProof w:val="0"/>
          <w:color w:val="17365D"/>
        </w:rPr>
        <w:t>milj. </w:t>
      </w:r>
      <w:r w:rsidRPr="00D613A6">
        <w:rPr>
          <w:i/>
          <w:noProof w:val="0"/>
          <w:color w:val="17365D"/>
        </w:rPr>
        <w:t>euro;</w:t>
      </w:r>
    </w:p>
    <w:p w14:paraId="3ED296B3" w14:textId="56454CB0" w:rsidR="009D297E" w:rsidRPr="00D613A6" w:rsidRDefault="00256D43" w:rsidP="008750F0">
      <w:pPr>
        <w:pStyle w:val="Pamatteksts1"/>
        <w:numPr>
          <w:ilvl w:val="1"/>
          <w:numId w:val="6"/>
        </w:numPr>
        <w:ind w:left="1418" w:hanging="426"/>
        <w:rPr>
          <w:noProof w:val="0"/>
          <w:color w:val="17365D"/>
        </w:rPr>
      </w:pPr>
      <w:r w:rsidRPr="00D613A6">
        <w:rPr>
          <w:noProof w:val="0"/>
          <w:color w:val="17365D"/>
        </w:rPr>
        <w:t xml:space="preserve">ieņēmumi no </w:t>
      </w:r>
      <w:r w:rsidR="00487530" w:rsidRPr="00D613A6">
        <w:rPr>
          <w:noProof w:val="0"/>
          <w:color w:val="17365D"/>
        </w:rPr>
        <w:t>līgumsodiem un procentu maksājumiem par saistību neizpildi 4</w:t>
      </w:r>
      <w:r w:rsidR="009D297E" w:rsidRPr="00D613A6">
        <w:rPr>
          <w:noProof w:val="0"/>
          <w:color w:val="17365D"/>
        </w:rPr>
        <w:t>,</w:t>
      </w:r>
      <w:r w:rsidR="00487530" w:rsidRPr="00D613A6">
        <w:rPr>
          <w:noProof w:val="0"/>
          <w:color w:val="17365D"/>
        </w:rPr>
        <w:t>5</w:t>
      </w:r>
      <w:r w:rsidR="009D297E" w:rsidRPr="00D613A6">
        <w:rPr>
          <w:noProof w:val="0"/>
          <w:color w:val="17365D"/>
        </w:rPr>
        <w:t> milj. </w:t>
      </w:r>
      <w:r w:rsidR="009D297E" w:rsidRPr="00D613A6">
        <w:rPr>
          <w:i/>
          <w:noProof w:val="0"/>
          <w:color w:val="17365D"/>
        </w:rPr>
        <w:t>euro</w:t>
      </w:r>
      <w:r w:rsidR="0068560C" w:rsidRPr="00D613A6">
        <w:rPr>
          <w:noProof w:val="0"/>
          <w:color w:val="17365D"/>
        </w:rPr>
        <w:t>.</w:t>
      </w:r>
    </w:p>
    <w:p w14:paraId="51A8100F" w14:textId="0A9F6A20" w:rsidR="0074579B" w:rsidRPr="00D613A6" w:rsidRDefault="0074579B" w:rsidP="0074579B">
      <w:pPr>
        <w:rPr>
          <w:color w:val="17365D"/>
        </w:rPr>
      </w:pPr>
      <w:r w:rsidRPr="00D613A6">
        <w:rPr>
          <w:color w:val="17365D"/>
        </w:rPr>
        <w:t>Valsts nodevu administrācijas saskaņā ar Ministru kabineta 2018. gada 7. augusta noteikumiem Nr.453 “Valsts nodevu uzskaites noteikumi” (turpmāk – MK noteikumi Nr.453) sagatavojušas un iesniegušas pārskatu par 202</w:t>
      </w:r>
      <w:r w:rsidR="004E3D9D" w:rsidRPr="00D613A6">
        <w:rPr>
          <w:color w:val="17365D"/>
        </w:rPr>
        <w:t>4</w:t>
      </w:r>
      <w:r w:rsidRPr="00D613A6">
        <w:rPr>
          <w:color w:val="17365D"/>
        </w:rPr>
        <w:t>.</w:t>
      </w:r>
      <w:r w:rsidR="00DB3C8C" w:rsidRPr="00D613A6">
        <w:rPr>
          <w:color w:val="17365D"/>
        </w:rPr>
        <w:t> </w:t>
      </w:r>
      <w:r w:rsidRPr="00D613A6">
        <w:rPr>
          <w:color w:val="17365D"/>
        </w:rPr>
        <w:t xml:space="preserve">gadu. Valsts nodevas </w:t>
      </w:r>
      <w:r w:rsidR="007A6FCA" w:rsidRPr="00D613A6">
        <w:rPr>
          <w:color w:val="17365D"/>
        </w:rPr>
        <w:t>kopumā</w:t>
      </w:r>
      <w:r w:rsidR="00D4284C" w:rsidRPr="00D613A6">
        <w:rPr>
          <w:color w:val="17365D"/>
        </w:rPr>
        <w:t xml:space="preserve"> iekasē </w:t>
      </w:r>
      <w:r w:rsidR="00AB0C73" w:rsidRPr="00D613A6">
        <w:rPr>
          <w:color w:val="17365D"/>
        </w:rPr>
        <w:t>43</w:t>
      </w:r>
      <w:r w:rsidR="006E3844" w:rsidRPr="00D613A6">
        <w:rPr>
          <w:color w:val="17365D"/>
        </w:rPr>
        <w:t xml:space="preserve"> </w:t>
      </w:r>
      <w:r w:rsidR="00D4284C" w:rsidRPr="00D613A6">
        <w:rPr>
          <w:color w:val="17365D"/>
        </w:rPr>
        <w:t>valsts nodev</w:t>
      </w:r>
      <w:r w:rsidR="00DB3C8C" w:rsidRPr="00D613A6">
        <w:rPr>
          <w:color w:val="17365D"/>
        </w:rPr>
        <w:t>u</w:t>
      </w:r>
      <w:r w:rsidR="007A6FCA" w:rsidRPr="00D613A6">
        <w:rPr>
          <w:color w:val="17365D"/>
        </w:rPr>
        <w:t xml:space="preserve"> </w:t>
      </w:r>
      <w:r w:rsidR="006E3844" w:rsidRPr="00D613A6">
        <w:rPr>
          <w:color w:val="17365D"/>
        </w:rPr>
        <w:t>administrācijas.</w:t>
      </w:r>
      <w:r w:rsidR="00A24D0E" w:rsidRPr="00D613A6">
        <w:rPr>
          <w:color w:val="17365D"/>
        </w:rPr>
        <w:t xml:space="preserve"> </w:t>
      </w:r>
      <w:r w:rsidR="006E3844" w:rsidRPr="00D613A6">
        <w:rPr>
          <w:color w:val="17365D"/>
        </w:rPr>
        <w:t>A</w:t>
      </w:r>
      <w:r w:rsidRPr="00D613A6">
        <w:rPr>
          <w:color w:val="17365D"/>
        </w:rPr>
        <w:t xml:space="preserve">tbilstoši </w:t>
      </w:r>
      <w:r w:rsidR="006E3844" w:rsidRPr="00D613A6">
        <w:rPr>
          <w:color w:val="17365D"/>
        </w:rPr>
        <w:t>MK noteikumi</w:t>
      </w:r>
      <w:r w:rsidR="00DB3C8C" w:rsidRPr="00D613A6">
        <w:rPr>
          <w:color w:val="17365D"/>
        </w:rPr>
        <w:t>em</w:t>
      </w:r>
      <w:r w:rsidR="006E3844" w:rsidRPr="00D613A6">
        <w:rPr>
          <w:color w:val="17365D"/>
        </w:rPr>
        <w:t xml:space="preserve"> Nr.453</w:t>
      </w:r>
      <w:r w:rsidR="00A24D0E" w:rsidRPr="00D613A6">
        <w:rPr>
          <w:color w:val="17365D"/>
        </w:rPr>
        <w:t xml:space="preserve"> </w:t>
      </w:r>
      <w:r w:rsidR="006E3844" w:rsidRPr="00D613A6">
        <w:rPr>
          <w:color w:val="17365D"/>
        </w:rPr>
        <w:t xml:space="preserve">valsts nodevu administrācijas </w:t>
      </w:r>
      <w:r w:rsidRPr="00D613A6">
        <w:rPr>
          <w:color w:val="17365D"/>
        </w:rPr>
        <w:t xml:space="preserve">veic valsts nodevu uzskaiti par visām tās administrētajām valsts nodevām, nodrošinot informācijas </w:t>
      </w:r>
      <w:r w:rsidRPr="00D613A6">
        <w:rPr>
          <w:color w:val="17365D"/>
        </w:rPr>
        <w:lastRenderedPageBreak/>
        <w:t>uzrādīšanu v</w:t>
      </w:r>
      <w:r w:rsidR="002C2BBE" w:rsidRPr="00D613A6">
        <w:rPr>
          <w:color w:val="17365D"/>
        </w:rPr>
        <w:t>alsts nodevu uzskaites pārskatā, izņemot Tiesu administrāciju, kura neuzskaita valsts nodevas civilprocesa ietvaros, jo notiek detalizētas uzskaites izstrāde.</w:t>
      </w:r>
      <w:r w:rsidRPr="00D613A6">
        <w:rPr>
          <w:color w:val="17365D"/>
        </w:rPr>
        <w:t xml:space="preserve"> </w:t>
      </w:r>
    </w:p>
    <w:p w14:paraId="377CEDB6" w14:textId="704494FE" w:rsidR="0074579B" w:rsidRPr="00D613A6" w:rsidRDefault="0074579B" w:rsidP="0074579B">
      <w:pPr>
        <w:rPr>
          <w:color w:val="17365D"/>
        </w:rPr>
      </w:pPr>
      <w:r w:rsidRPr="00D613A6">
        <w:rPr>
          <w:color w:val="17365D"/>
        </w:rPr>
        <w:t>Saskaņā ar nodevu administrāciju sniegto informāciju par 202</w:t>
      </w:r>
      <w:r w:rsidR="003344C9" w:rsidRPr="00D613A6">
        <w:rPr>
          <w:color w:val="17365D"/>
        </w:rPr>
        <w:t>4</w:t>
      </w:r>
      <w:r w:rsidRPr="00D613A6">
        <w:rPr>
          <w:color w:val="17365D"/>
        </w:rPr>
        <w:t>.</w:t>
      </w:r>
      <w:r w:rsidR="00DB3C8C" w:rsidRPr="00D613A6">
        <w:rPr>
          <w:color w:val="17365D"/>
        </w:rPr>
        <w:t> </w:t>
      </w:r>
      <w:r w:rsidRPr="00D613A6">
        <w:rPr>
          <w:color w:val="17365D"/>
        </w:rPr>
        <w:t>gadu samaksai aprēķinātā valsts nodev</w:t>
      </w:r>
      <w:r w:rsidR="00DB3C8C" w:rsidRPr="00D613A6">
        <w:rPr>
          <w:color w:val="17365D"/>
        </w:rPr>
        <w:t>u</w:t>
      </w:r>
      <w:r w:rsidRPr="00D613A6">
        <w:rPr>
          <w:color w:val="17365D"/>
        </w:rPr>
        <w:t xml:space="preserve"> summa ir 1</w:t>
      </w:r>
      <w:r w:rsidR="003344C9" w:rsidRPr="00D613A6">
        <w:rPr>
          <w:color w:val="17365D"/>
        </w:rPr>
        <w:t>40</w:t>
      </w:r>
      <w:r w:rsidRPr="00D613A6">
        <w:rPr>
          <w:color w:val="17365D"/>
        </w:rPr>
        <w:t>,</w:t>
      </w:r>
      <w:r w:rsidR="003344C9" w:rsidRPr="00D613A6">
        <w:rPr>
          <w:color w:val="17365D"/>
        </w:rPr>
        <w:t>8</w:t>
      </w:r>
      <w:r w:rsidRPr="00D613A6">
        <w:rPr>
          <w:color w:val="17365D"/>
        </w:rPr>
        <w:t xml:space="preserve"> milj. </w:t>
      </w:r>
      <w:r w:rsidRPr="00D613A6">
        <w:rPr>
          <w:i/>
          <w:color w:val="17365D"/>
        </w:rPr>
        <w:t>euro</w:t>
      </w:r>
      <w:r w:rsidRPr="00D613A6">
        <w:rPr>
          <w:color w:val="17365D"/>
        </w:rPr>
        <w:t>, faktiski saņemtā summa ir 1</w:t>
      </w:r>
      <w:r w:rsidR="003344C9" w:rsidRPr="00D613A6">
        <w:rPr>
          <w:color w:val="17365D"/>
        </w:rPr>
        <w:t>31</w:t>
      </w:r>
      <w:r w:rsidRPr="00D613A6">
        <w:rPr>
          <w:color w:val="17365D"/>
        </w:rPr>
        <w:t>,</w:t>
      </w:r>
      <w:r w:rsidR="003344C9" w:rsidRPr="00D613A6">
        <w:rPr>
          <w:color w:val="17365D"/>
        </w:rPr>
        <w:t>6</w:t>
      </w:r>
      <w:r w:rsidRPr="00D613A6">
        <w:rPr>
          <w:color w:val="17365D"/>
        </w:rPr>
        <w:t xml:space="preserve"> milj. </w:t>
      </w:r>
      <w:r w:rsidRPr="00D613A6">
        <w:rPr>
          <w:i/>
          <w:color w:val="17365D"/>
        </w:rPr>
        <w:t>euro</w:t>
      </w:r>
      <w:r w:rsidR="000A6CFF" w:rsidRPr="00D613A6">
        <w:rPr>
          <w:i/>
          <w:color w:val="17365D"/>
        </w:rPr>
        <w:t xml:space="preserve"> </w:t>
      </w:r>
      <w:r w:rsidR="000A6CFF" w:rsidRPr="00D613A6">
        <w:rPr>
          <w:color w:val="17365D"/>
        </w:rPr>
        <w:t>un</w:t>
      </w:r>
      <w:r w:rsidRPr="00D613A6">
        <w:rPr>
          <w:color w:val="17365D"/>
        </w:rPr>
        <w:t xml:space="preserve"> atmaksāt</w:t>
      </w:r>
      <w:r w:rsidR="000A6CFF" w:rsidRPr="00D613A6">
        <w:rPr>
          <w:color w:val="17365D"/>
        </w:rPr>
        <w:t>a</w:t>
      </w:r>
      <w:r w:rsidRPr="00D613A6">
        <w:rPr>
          <w:color w:val="17365D"/>
        </w:rPr>
        <w:t xml:space="preserve"> summa </w:t>
      </w:r>
      <w:r w:rsidR="003344C9" w:rsidRPr="00D613A6">
        <w:rPr>
          <w:color w:val="17365D"/>
        </w:rPr>
        <w:t>3</w:t>
      </w:r>
      <w:r w:rsidR="000A6CFF" w:rsidRPr="00D613A6">
        <w:rPr>
          <w:color w:val="17365D"/>
        </w:rPr>
        <w:t>,</w:t>
      </w:r>
      <w:r w:rsidR="003344C9" w:rsidRPr="00D613A6">
        <w:rPr>
          <w:color w:val="17365D"/>
        </w:rPr>
        <w:t>0</w:t>
      </w:r>
      <w:r w:rsidR="000A6CFF" w:rsidRPr="00D613A6">
        <w:rPr>
          <w:color w:val="17365D"/>
        </w:rPr>
        <w:t xml:space="preserve"> milj. </w:t>
      </w:r>
      <w:r w:rsidR="000A6CFF" w:rsidRPr="00D613A6">
        <w:rPr>
          <w:i/>
          <w:color w:val="17365D"/>
        </w:rPr>
        <w:t>euro</w:t>
      </w:r>
      <w:r w:rsidR="000A6CFF" w:rsidRPr="00D613A6">
        <w:rPr>
          <w:color w:val="17365D"/>
        </w:rPr>
        <w:t xml:space="preserve"> no pārskata gada un iepriekšējos pārskata gados iekasētajiem valsts nodevu ieņēmumiem</w:t>
      </w:r>
      <w:r w:rsidR="00A60242" w:rsidRPr="00D613A6">
        <w:rPr>
          <w:color w:val="17365D"/>
        </w:rPr>
        <w:t>. Būtiskākās</w:t>
      </w:r>
      <w:r w:rsidR="00B36A61" w:rsidRPr="00D613A6">
        <w:rPr>
          <w:color w:val="17365D"/>
        </w:rPr>
        <w:t xml:space="preserve"> faktiski saņe</w:t>
      </w:r>
      <w:r w:rsidR="00D4284C" w:rsidRPr="00D613A6">
        <w:rPr>
          <w:color w:val="17365D"/>
        </w:rPr>
        <w:t>mtās valsts nodevu summas valsts budžetā iekasējuš</w:t>
      </w:r>
      <w:r w:rsidR="006E3844" w:rsidRPr="00D613A6">
        <w:rPr>
          <w:color w:val="17365D"/>
        </w:rPr>
        <w:t>as –</w:t>
      </w:r>
      <w:r w:rsidR="00D4284C" w:rsidRPr="00D613A6">
        <w:rPr>
          <w:color w:val="17365D"/>
        </w:rPr>
        <w:t>Tiesu administrācija 5</w:t>
      </w:r>
      <w:r w:rsidR="008B7096" w:rsidRPr="00D613A6">
        <w:rPr>
          <w:color w:val="17365D"/>
        </w:rPr>
        <w:t>9,3</w:t>
      </w:r>
      <w:r w:rsidR="00D4284C" w:rsidRPr="00D613A6">
        <w:rPr>
          <w:color w:val="17365D"/>
        </w:rPr>
        <w:t xml:space="preserve"> milj. </w:t>
      </w:r>
      <w:r w:rsidR="00D4284C" w:rsidRPr="00D613A6">
        <w:rPr>
          <w:i/>
          <w:color w:val="17365D"/>
        </w:rPr>
        <w:t>euro</w:t>
      </w:r>
      <w:r w:rsidR="008B7096" w:rsidRPr="00D613A6">
        <w:rPr>
          <w:color w:val="17365D"/>
        </w:rPr>
        <w:t xml:space="preserve">, </w:t>
      </w:r>
      <w:r w:rsidR="00510A18" w:rsidRPr="00D613A6">
        <w:rPr>
          <w:color w:val="17365D"/>
        </w:rPr>
        <w:t xml:space="preserve">VSIA “Latvijas </w:t>
      </w:r>
      <w:r w:rsidR="008B7096" w:rsidRPr="00D613A6">
        <w:rPr>
          <w:color w:val="17365D"/>
        </w:rPr>
        <w:t>valsts ceļi” 32</w:t>
      </w:r>
      <w:r w:rsidR="00DB3C8C" w:rsidRPr="00D613A6">
        <w:rPr>
          <w:color w:val="17365D"/>
        </w:rPr>
        <w:t>,</w:t>
      </w:r>
      <w:r w:rsidR="00B23F8D" w:rsidRPr="00D613A6">
        <w:rPr>
          <w:color w:val="17365D"/>
        </w:rPr>
        <w:t>4</w:t>
      </w:r>
      <w:r w:rsidR="00510A18" w:rsidRPr="00D613A6">
        <w:rPr>
          <w:color w:val="17365D"/>
        </w:rPr>
        <w:t xml:space="preserve"> milj. </w:t>
      </w:r>
      <w:r w:rsidR="00510A18" w:rsidRPr="00D613A6">
        <w:rPr>
          <w:i/>
          <w:color w:val="17365D"/>
        </w:rPr>
        <w:t>euro</w:t>
      </w:r>
      <w:r w:rsidR="008B7096" w:rsidRPr="00D613A6">
        <w:rPr>
          <w:i/>
          <w:color w:val="17365D"/>
        </w:rPr>
        <w:t xml:space="preserve"> </w:t>
      </w:r>
      <w:r w:rsidR="008B7096" w:rsidRPr="00D613A6">
        <w:rPr>
          <w:color w:val="17365D"/>
        </w:rPr>
        <w:t xml:space="preserve">un </w:t>
      </w:r>
      <w:r w:rsidR="002C2BBE" w:rsidRPr="00D613A6">
        <w:rPr>
          <w:color w:val="17365D"/>
        </w:rPr>
        <w:t xml:space="preserve">Pilsonības un migrācijas lietu pārvalde </w:t>
      </w:r>
      <w:r w:rsidR="008B7096" w:rsidRPr="00D613A6">
        <w:rPr>
          <w:color w:val="17365D"/>
        </w:rPr>
        <w:t xml:space="preserve"> </w:t>
      </w:r>
      <w:r w:rsidR="00CC7919" w:rsidRPr="00D613A6">
        <w:rPr>
          <w:color w:val="17365D"/>
        </w:rPr>
        <w:t>20</w:t>
      </w:r>
      <w:r w:rsidR="002C2BBE" w:rsidRPr="00D613A6">
        <w:rPr>
          <w:color w:val="17365D"/>
        </w:rPr>
        <w:t>,1</w:t>
      </w:r>
      <w:r w:rsidR="008B7096" w:rsidRPr="00D613A6">
        <w:rPr>
          <w:color w:val="17365D"/>
        </w:rPr>
        <w:t xml:space="preserve"> milj. </w:t>
      </w:r>
      <w:r w:rsidR="008B7096" w:rsidRPr="00D613A6">
        <w:rPr>
          <w:i/>
          <w:color w:val="17365D"/>
        </w:rPr>
        <w:t>euro</w:t>
      </w:r>
      <w:r w:rsidR="008B7096" w:rsidRPr="00D613A6">
        <w:rPr>
          <w:color w:val="17365D"/>
        </w:rPr>
        <w:t xml:space="preserve">. </w:t>
      </w:r>
      <w:r w:rsidR="00D4284C" w:rsidRPr="00D613A6">
        <w:rPr>
          <w:color w:val="17365D"/>
        </w:rPr>
        <w:t>B</w:t>
      </w:r>
      <w:r w:rsidRPr="00D613A6">
        <w:rPr>
          <w:color w:val="17365D"/>
        </w:rPr>
        <w:t>ūtiskākie valsts nodev</w:t>
      </w:r>
      <w:r w:rsidR="00DB3C8C" w:rsidRPr="00D613A6">
        <w:rPr>
          <w:color w:val="17365D"/>
        </w:rPr>
        <w:t>u</w:t>
      </w:r>
      <w:r w:rsidRPr="00D613A6">
        <w:rPr>
          <w:color w:val="17365D"/>
        </w:rPr>
        <w:t xml:space="preserve"> objekti </w:t>
      </w:r>
      <w:r w:rsidR="0083793D" w:rsidRPr="00D613A6">
        <w:rPr>
          <w:color w:val="17365D"/>
        </w:rPr>
        <w:t>ir</w:t>
      </w:r>
      <w:r w:rsidRPr="00D613A6">
        <w:rPr>
          <w:color w:val="17365D"/>
        </w:rPr>
        <w:t>:</w:t>
      </w:r>
    </w:p>
    <w:p w14:paraId="4EB825ED" w14:textId="647FB4C5" w:rsidR="0074579B" w:rsidRPr="00D613A6" w:rsidRDefault="0074579B" w:rsidP="008750F0">
      <w:pPr>
        <w:pStyle w:val="Bullets"/>
        <w:numPr>
          <w:ilvl w:val="0"/>
          <w:numId w:val="7"/>
        </w:numPr>
        <w:ind w:left="993" w:hanging="426"/>
        <w:rPr>
          <w:color w:val="17365D"/>
        </w:rPr>
      </w:pPr>
      <w:r w:rsidRPr="00D613A6">
        <w:rPr>
          <w:color w:val="17365D"/>
        </w:rPr>
        <w:t>īpašuma tiesību un ķīlas tiesību nostiprināšan</w:t>
      </w:r>
      <w:r w:rsidR="00DB3C8C" w:rsidRPr="00D613A6">
        <w:rPr>
          <w:color w:val="17365D"/>
        </w:rPr>
        <w:t>a</w:t>
      </w:r>
      <w:r w:rsidRPr="00D613A6">
        <w:rPr>
          <w:color w:val="17365D"/>
        </w:rPr>
        <w:t xml:space="preserve"> zemesgrāmatā (kods 9.1.7.4., 9.1.7.5., 9.1.7.6.) –</w:t>
      </w:r>
      <w:r w:rsidR="00DB52CE" w:rsidRPr="00D613A6">
        <w:rPr>
          <w:color w:val="17365D"/>
        </w:rPr>
        <w:t xml:space="preserve"> </w:t>
      </w:r>
      <w:r w:rsidR="00AE09E4" w:rsidRPr="00D613A6">
        <w:rPr>
          <w:color w:val="17365D"/>
        </w:rPr>
        <w:t>uzrādīta samaksai ap</w:t>
      </w:r>
      <w:r w:rsidR="00B23F8D" w:rsidRPr="00D613A6">
        <w:rPr>
          <w:color w:val="17365D"/>
        </w:rPr>
        <w:t>rēķinātā valsts nodevas s</w:t>
      </w:r>
      <w:r w:rsidR="0075715A" w:rsidRPr="00D613A6">
        <w:rPr>
          <w:color w:val="17365D"/>
        </w:rPr>
        <w:t>umma 53,5</w:t>
      </w:r>
      <w:r w:rsidR="00AE09E4" w:rsidRPr="00D613A6">
        <w:rPr>
          <w:color w:val="17365D"/>
        </w:rPr>
        <w:t> milj. </w:t>
      </w:r>
      <w:r w:rsidR="00AE09E4" w:rsidRPr="00D613A6">
        <w:rPr>
          <w:i/>
          <w:iCs/>
          <w:color w:val="17365D"/>
        </w:rPr>
        <w:t>euro,</w:t>
      </w:r>
      <w:r w:rsidR="00AE09E4" w:rsidRPr="00D613A6">
        <w:rPr>
          <w:color w:val="17365D"/>
        </w:rPr>
        <w:t xml:space="preserve"> </w:t>
      </w:r>
      <w:r w:rsidRPr="00D613A6">
        <w:rPr>
          <w:color w:val="17365D"/>
        </w:rPr>
        <w:t xml:space="preserve">faktiski saņemtā summa </w:t>
      </w:r>
      <w:r w:rsidR="000A7473" w:rsidRPr="00D613A6">
        <w:rPr>
          <w:color w:val="17365D"/>
        </w:rPr>
        <w:t>4</w:t>
      </w:r>
      <w:r w:rsidR="0075715A" w:rsidRPr="00D613A6">
        <w:rPr>
          <w:color w:val="17365D"/>
        </w:rPr>
        <w:t>6</w:t>
      </w:r>
      <w:r w:rsidRPr="00D613A6">
        <w:rPr>
          <w:color w:val="17365D"/>
        </w:rPr>
        <w:t>,</w:t>
      </w:r>
      <w:r w:rsidR="0075715A" w:rsidRPr="00D613A6">
        <w:rPr>
          <w:color w:val="17365D"/>
        </w:rPr>
        <w:t>0</w:t>
      </w:r>
      <w:r w:rsidRPr="00D613A6">
        <w:rPr>
          <w:color w:val="17365D"/>
        </w:rPr>
        <w:t> milj. </w:t>
      </w:r>
      <w:r w:rsidRPr="00D613A6">
        <w:rPr>
          <w:i/>
          <w:iCs/>
          <w:color w:val="17365D"/>
        </w:rPr>
        <w:t>euro</w:t>
      </w:r>
      <w:r w:rsidRPr="00D613A6">
        <w:rPr>
          <w:color w:val="17365D"/>
        </w:rPr>
        <w:t>, atmaksātā summa 0,</w:t>
      </w:r>
      <w:r w:rsidR="0075715A" w:rsidRPr="00D613A6">
        <w:rPr>
          <w:color w:val="17365D"/>
        </w:rPr>
        <w:t>08</w:t>
      </w:r>
      <w:r w:rsidRPr="00D613A6">
        <w:rPr>
          <w:color w:val="17365D"/>
        </w:rPr>
        <w:t> milj. </w:t>
      </w:r>
      <w:r w:rsidRPr="00D613A6">
        <w:rPr>
          <w:i/>
          <w:iCs/>
          <w:color w:val="17365D"/>
        </w:rPr>
        <w:t>euro</w:t>
      </w:r>
      <w:r w:rsidR="0075715A" w:rsidRPr="00D613A6">
        <w:rPr>
          <w:i/>
          <w:iCs/>
          <w:color w:val="17365D"/>
        </w:rPr>
        <w:t>.</w:t>
      </w:r>
      <w:r w:rsidR="0015469A" w:rsidRPr="00D613A6">
        <w:rPr>
          <w:i/>
          <w:iCs/>
          <w:color w:val="17365D"/>
        </w:rPr>
        <w:t xml:space="preserve"> </w:t>
      </w:r>
      <w:r w:rsidR="0075715A" w:rsidRPr="00D613A6">
        <w:rPr>
          <w:iCs/>
          <w:color w:val="17365D"/>
        </w:rPr>
        <w:t>Kopējais sniegto pakalpojumu skaits šai nodevai ir 545 074 pakalpojumi</w:t>
      </w:r>
      <w:r w:rsidRPr="00D613A6">
        <w:rPr>
          <w:color w:val="17365D"/>
        </w:rPr>
        <w:t>;</w:t>
      </w:r>
    </w:p>
    <w:p w14:paraId="0993C187" w14:textId="0C314AF1" w:rsidR="0074579B" w:rsidRPr="00D613A6" w:rsidRDefault="00CD41B9" w:rsidP="008750F0">
      <w:pPr>
        <w:pStyle w:val="Bullets"/>
        <w:numPr>
          <w:ilvl w:val="0"/>
          <w:numId w:val="7"/>
        </w:numPr>
        <w:ind w:left="993" w:hanging="426"/>
        <w:rPr>
          <w:color w:val="17365D"/>
        </w:rPr>
      </w:pPr>
      <w:r w:rsidRPr="00D613A6">
        <w:rPr>
          <w:color w:val="17365D"/>
        </w:rPr>
        <w:t xml:space="preserve">par </w:t>
      </w:r>
      <w:r w:rsidR="0074579B" w:rsidRPr="00D613A6">
        <w:rPr>
          <w:color w:val="17365D"/>
        </w:rPr>
        <w:t>autoce</w:t>
      </w:r>
      <w:r w:rsidR="00B538AD" w:rsidRPr="00D613A6">
        <w:rPr>
          <w:color w:val="17365D"/>
        </w:rPr>
        <w:t>ļu lietošan</w:t>
      </w:r>
      <w:r w:rsidR="00DB52CE" w:rsidRPr="00D613A6">
        <w:rPr>
          <w:color w:val="17365D"/>
        </w:rPr>
        <w:t>u</w:t>
      </w:r>
      <w:r w:rsidR="00B538AD" w:rsidRPr="00D613A6">
        <w:rPr>
          <w:color w:val="17365D"/>
        </w:rPr>
        <w:t xml:space="preserve"> (kods 9.3.9.2.) – </w:t>
      </w:r>
      <w:r w:rsidR="0074579B" w:rsidRPr="00D613A6">
        <w:rPr>
          <w:color w:val="17365D"/>
        </w:rPr>
        <w:t>uzrādīta samaksai aprēķinātā valsts nodevas summa 30,</w:t>
      </w:r>
      <w:r w:rsidR="0075715A" w:rsidRPr="00D613A6">
        <w:rPr>
          <w:color w:val="17365D"/>
        </w:rPr>
        <w:t>2</w:t>
      </w:r>
      <w:r w:rsidR="0074579B" w:rsidRPr="00D613A6">
        <w:rPr>
          <w:color w:val="17365D"/>
        </w:rPr>
        <w:t> milj. </w:t>
      </w:r>
      <w:r w:rsidR="0074579B" w:rsidRPr="00D613A6">
        <w:rPr>
          <w:i/>
          <w:iCs/>
          <w:color w:val="17365D"/>
        </w:rPr>
        <w:t>euro</w:t>
      </w:r>
      <w:r w:rsidR="0074579B" w:rsidRPr="00D613A6">
        <w:rPr>
          <w:color w:val="17365D"/>
        </w:rPr>
        <w:t>, faktiski saņemtā summa 30,</w:t>
      </w:r>
      <w:r w:rsidR="0075715A" w:rsidRPr="00D613A6">
        <w:rPr>
          <w:color w:val="17365D"/>
        </w:rPr>
        <w:t>2</w:t>
      </w:r>
      <w:r w:rsidR="0074579B" w:rsidRPr="00D613A6">
        <w:rPr>
          <w:color w:val="17365D"/>
        </w:rPr>
        <w:t> milj. </w:t>
      </w:r>
      <w:r w:rsidR="0074579B" w:rsidRPr="00D613A6">
        <w:rPr>
          <w:i/>
          <w:iCs/>
          <w:color w:val="17365D"/>
        </w:rPr>
        <w:t>euro</w:t>
      </w:r>
      <w:r w:rsidR="00AE09E4" w:rsidRPr="00D613A6">
        <w:rPr>
          <w:i/>
          <w:iCs/>
          <w:color w:val="17365D"/>
        </w:rPr>
        <w:t>,</w:t>
      </w:r>
      <w:r w:rsidR="000A6CFF" w:rsidRPr="00D613A6">
        <w:rPr>
          <w:i/>
          <w:iCs/>
          <w:color w:val="17365D"/>
        </w:rPr>
        <w:t xml:space="preserve"> </w:t>
      </w:r>
      <w:r w:rsidR="00224C80" w:rsidRPr="00D613A6">
        <w:rPr>
          <w:color w:val="17365D"/>
        </w:rPr>
        <w:t>atmaksātā summa 0,09</w:t>
      </w:r>
      <w:r w:rsidR="00AE09E4" w:rsidRPr="00D613A6">
        <w:rPr>
          <w:color w:val="17365D"/>
        </w:rPr>
        <w:t> milj. </w:t>
      </w:r>
      <w:r w:rsidR="00AE09E4" w:rsidRPr="00D613A6">
        <w:rPr>
          <w:i/>
          <w:color w:val="17365D"/>
        </w:rPr>
        <w:t>euro.</w:t>
      </w:r>
      <w:r w:rsidR="00AE09E4" w:rsidRPr="00D613A6">
        <w:rPr>
          <w:iCs/>
          <w:color w:val="17365D"/>
        </w:rPr>
        <w:t xml:space="preserve"> Kopējais sniegto pakalpojumu skaits šai nodevai ir </w:t>
      </w:r>
      <w:r w:rsidR="000A6CFF" w:rsidRPr="00D613A6">
        <w:rPr>
          <w:iCs/>
          <w:color w:val="17365D"/>
        </w:rPr>
        <w:t>1</w:t>
      </w:r>
      <w:r w:rsidR="00A450DE" w:rsidRPr="00D613A6">
        <w:rPr>
          <w:iCs/>
          <w:color w:val="17365D"/>
        </w:rPr>
        <w:t> </w:t>
      </w:r>
      <w:r w:rsidR="0075715A" w:rsidRPr="00D613A6">
        <w:rPr>
          <w:iCs/>
          <w:color w:val="17365D"/>
        </w:rPr>
        <w:t>464</w:t>
      </w:r>
      <w:r w:rsidR="006E1085" w:rsidRPr="00D613A6">
        <w:rPr>
          <w:iCs/>
          <w:color w:val="17365D"/>
        </w:rPr>
        <w:t> </w:t>
      </w:r>
      <w:r w:rsidR="0075715A" w:rsidRPr="00D613A6">
        <w:rPr>
          <w:iCs/>
          <w:color w:val="17365D"/>
        </w:rPr>
        <w:t>281</w:t>
      </w:r>
      <w:r w:rsidR="006E1085" w:rsidRPr="00D613A6">
        <w:rPr>
          <w:iCs/>
          <w:color w:val="17365D"/>
        </w:rPr>
        <w:t> </w:t>
      </w:r>
      <w:r w:rsidR="000A6CFF" w:rsidRPr="00D613A6">
        <w:rPr>
          <w:iCs/>
          <w:color w:val="17365D"/>
        </w:rPr>
        <w:t>pakalpojumi</w:t>
      </w:r>
      <w:r w:rsidR="0074579B" w:rsidRPr="00D613A6">
        <w:rPr>
          <w:color w:val="17365D"/>
        </w:rPr>
        <w:t>;</w:t>
      </w:r>
    </w:p>
    <w:p w14:paraId="7233D987" w14:textId="2A57F63A" w:rsidR="00AB0C73" w:rsidRPr="00D613A6" w:rsidRDefault="00B01BE2" w:rsidP="000832EC">
      <w:pPr>
        <w:pStyle w:val="Bullets"/>
        <w:numPr>
          <w:ilvl w:val="0"/>
          <w:numId w:val="7"/>
        </w:numPr>
        <w:ind w:left="993" w:hanging="426"/>
        <w:rPr>
          <w:color w:val="17365D"/>
        </w:rPr>
      </w:pPr>
      <w:r w:rsidRPr="00D613A6">
        <w:rPr>
          <w:color w:val="17365D"/>
        </w:rPr>
        <w:t>p</w:t>
      </w:r>
      <w:r w:rsidR="00AB0C73" w:rsidRPr="00D613A6">
        <w:rPr>
          <w:color w:val="17365D"/>
        </w:rPr>
        <w:t xml:space="preserve">ar prasības pieteikumu iesniegšanu tiesā (kods 9.1.1.2.) – uzrādīta samaksai aprēķinātā valsts nodevas summa 12,6 milj. euro, faktiski saņemtā summa 12,6 milj. euro, atmaksātā summa 0,8 milj. euro. </w:t>
      </w:r>
    </w:p>
    <w:p w14:paraId="031B244F" w14:textId="714153AC" w:rsidR="0028467A" w:rsidRPr="00D613A6" w:rsidRDefault="0028467A" w:rsidP="000832EC">
      <w:pPr>
        <w:pStyle w:val="Bullets"/>
        <w:numPr>
          <w:ilvl w:val="0"/>
          <w:numId w:val="7"/>
        </w:numPr>
        <w:ind w:left="993" w:hanging="426"/>
        <w:rPr>
          <w:color w:val="17365D"/>
        </w:rPr>
      </w:pPr>
      <w:r w:rsidRPr="00D613A6">
        <w:rPr>
          <w:color w:val="17365D"/>
        </w:rPr>
        <w:t>par personas apliecību un pases izsniegšanu</w:t>
      </w:r>
      <w:r w:rsidR="0076533E" w:rsidRPr="00D613A6">
        <w:rPr>
          <w:color w:val="17365D"/>
        </w:rPr>
        <w:t xml:space="preserve"> (kods 9.1.8.1., 9.1.8.2.)</w:t>
      </w:r>
      <w:r w:rsidRPr="00D613A6">
        <w:rPr>
          <w:color w:val="17365D"/>
        </w:rPr>
        <w:t xml:space="preserve"> </w:t>
      </w:r>
      <w:r w:rsidR="00DB3C8C" w:rsidRPr="00D613A6">
        <w:rPr>
          <w:color w:val="17365D"/>
        </w:rPr>
        <w:t xml:space="preserve">– </w:t>
      </w:r>
      <w:r w:rsidRPr="00D613A6">
        <w:rPr>
          <w:color w:val="17365D"/>
        </w:rPr>
        <w:t>uzrādīta samaksai aprēķinātā valsts nodevas summa 1</w:t>
      </w:r>
      <w:r w:rsidR="00AB0C73" w:rsidRPr="00D613A6">
        <w:rPr>
          <w:color w:val="17365D"/>
        </w:rPr>
        <w:t>2</w:t>
      </w:r>
      <w:r w:rsidRPr="00D613A6">
        <w:rPr>
          <w:color w:val="17365D"/>
        </w:rPr>
        <w:t>,</w:t>
      </w:r>
      <w:r w:rsidR="00AB0C73" w:rsidRPr="00D613A6">
        <w:rPr>
          <w:color w:val="17365D"/>
        </w:rPr>
        <w:t>0</w:t>
      </w:r>
      <w:r w:rsidRPr="00D613A6">
        <w:rPr>
          <w:color w:val="17365D"/>
        </w:rPr>
        <w:t> milj. </w:t>
      </w:r>
      <w:r w:rsidRPr="00D613A6">
        <w:rPr>
          <w:i/>
          <w:iCs/>
          <w:color w:val="17365D"/>
        </w:rPr>
        <w:t>euro</w:t>
      </w:r>
      <w:r w:rsidRPr="00D613A6">
        <w:rPr>
          <w:color w:val="17365D"/>
        </w:rPr>
        <w:t>, faktiski saņemtā summa 1</w:t>
      </w:r>
      <w:r w:rsidR="00AB0C73" w:rsidRPr="00D613A6">
        <w:rPr>
          <w:color w:val="17365D"/>
        </w:rPr>
        <w:t>2</w:t>
      </w:r>
      <w:r w:rsidRPr="00D613A6">
        <w:rPr>
          <w:color w:val="17365D"/>
        </w:rPr>
        <w:t>,</w:t>
      </w:r>
      <w:r w:rsidR="00AB0C73" w:rsidRPr="00D613A6">
        <w:rPr>
          <w:color w:val="17365D"/>
        </w:rPr>
        <w:t>2</w:t>
      </w:r>
      <w:r w:rsidRPr="00D613A6">
        <w:rPr>
          <w:color w:val="17365D"/>
        </w:rPr>
        <w:t> milj. </w:t>
      </w:r>
      <w:r w:rsidRPr="00D613A6">
        <w:rPr>
          <w:i/>
          <w:iCs/>
          <w:color w:val="17365D"/>
        </w:rPr>
        <w:t xml:space="preserve">euro </w:t>
      </w:r>
      <w:r w:rsidRPr="00D613A6">
        <w:rPr>
          <w:iCs/>
          <w:color w:val="17365D"/>
        </w:rPr>
        <w:t>par</w:t>
      </w:r>
      <w:r w:rsidRPr="00D613A6">
        <w:rPr>
          <w:i/>
          <w:iCs/>
          <w:color w:val="17365D"/>
        </w:rPr>
        <w:t xml:space="preserve"> </w:t>
      </w:r>
      <w:r w:rsidR="00AB0C73" w:rsidRPr="00D613A6">
        <w:rPr>
          <w:iCs/>
          <w:color w:val="17365D"/>
        </w:rPr>
        <w:t>601</w:t>
      </w:r>
      <w:r w:rsidR="00DB3C8C" w:rsidRPr="00D613A6">
        <w:rPr>
          <w:iCs/>
          <w:color w:val="17365D"/>
        </w:rPr>
        <w:t> </w:t>
      </w:r>
      <w:r w:rsidR="00AB0C73" w:rsidRPr="00D613A6">
        <w:rPr>
          <w:iCs/>
          <w:color w:val="17365D"/>
        </w:rPr>
        <w:t>376</w:t>
      </w:r>
      <w:r w:rsidRPr="00D613A6">
        <w:rPr>
          <w:i/>
          <w:iCs/>
          <w:color w:val="17365D"/>
        </w:rPr>
        <w:t xml:space="preserve"> </w:t>
      </w:r>
      <w:r w:rsidRPr="00D613A6">
        <w:rPr>
          <w:iCs/>
          <w:color w:val="17365D"/>
        </w:rPr>
        <w:t>sniegtajiem pakalpojumiem</w:t>
      </w:r>
      <w:r w:rsidRPr="00D613A6">
        <w:rPr>
          <w:color w:val="17365D"/>
        </w:rPr>
        <w:t>.</w:t>
      </w:r>
    </w:p>
    <w:p w14:paraId="56A2627D" w14:textId="268CB997" w:rsidR="00140997" w:rsidRPr="00D613A6" w:rsidRDefault="007300B0" w:rsidP="00B61975">
      <w:pPr>
        <w:pStyle w:val="Pamatteksts1"/>
        <w:rPr>
          <w:rFonts w:eastAsia="Arial Unicode MS"/>
          <w:i/>
          <w:color w:val="17365D"/>
          <w:sz w:val="20"/>
        </w:rPr>
      </w:pPr>
      <w:r w:rsidRPr="00D613A6">
        <w:rPr>
          <w:b/>
          <w:color w:val="17365D"/>
        </w:rPr>
        <w:t>Ārvalstu finanšu palīdzība</w:t>
      </w:r>
      <w:r w:rsidR="00B81BEB" w:rsidRPr="00D613A6">
        <w:rPr>
          <w:b/>
          <w:color w:val="17365D"/>
        </w:rPr>
        <w:t>s</w:t>
      </w:r>
      <w:r w:rsidRPr="00D613A6">
        <w:rPr>
          <w:noProof w:val="0"/>
          <w:color w:val="17365D"/>
        </w:rPr>
        <w:t xml:space="preserve"> </w:t>
      </w:r>
      <w:r w:rsidR="00AC0715" w:rsidRPr="00D613A6">
        <w:rPr>
          <w:noProof w:val="0"/>
          <w:color w:val="17365D"/>
        </w:rPr>
        <w:t xml:space="preserve">pamatbudžeta </w:t>
      </w:r>
      <w:r w:rsidRPr="00D613A6">
        <w:rPr>
          <w:noProof w:val="0"/>
          <w:color w:val="17365D"/>
        </w:rPr>
        <w:t>ieņēmumi ir 1 </w:t>
      </w:r>
      <w:r w:rsidR="008B7096" w:rsidRPr="00D613A6">
        <w:rPr>
          <w:noProof w:val="0"/>
          <w:color w:val="17365D"/>
        </w:rPr>
        <w:t>777</w:t>
      </w:r>
      <w:r w:rsidRPr="00D613A6">
        <w:rPr>
          <w:noProof w:val="0"/>
          <w:color w:val="17365D"/>
        </w:rPr>
        <w:t>,</w:t>
      </w:r>
      <w:r w:rsidR="008B7096" w:rsidRPr="00D613A6">
        <w:rPr>
          <w:noProof w:val="0"/>
          <w:color w:val="17365D"/>
        </w:rPr>
        <w:t>2</w:t>
      </w:r>
      <w:r w:rsidRPr="00D613A6">
        <w:rPr>
          <w:noProof w:val="0"/>
          <w:color w:val="17365D"/>
        </w:rPr>
        <w:t xml:space="preserve"> milj. </w:t>
      </w:r>
      <w:r w:rsidRPr="00D613A6">
        <w:rPr>
          <w:i/>
          <w:noProof w:val="0"/>
          <w:color w:val="17365D"/>
        </w:rPr>
        <w:t>euro</w:t>
      </w:r>
      <w:r w:rsidRPr="00D613A6">
        <w:rPr>
          <w:noProof w:val="0"/>
          <w:color w:val="17365D"/>
        </w:rPr>
        <w:t xml:space="preserve"> vērtībā, kas salīdzinājumā ar 20</w:t>
      </w:r>
      <w:r w:rsidR="009D297E" w:rsidRPr="00D613A6">
        <w:rPr>
          <w:noProof w:val="0"/>
          <w:color w:val="17365D"/>
        </w:rPr>
        <w:t>2</w:t>
      </w:r>
      <w:r w:rsidR="008B7096" w:rsidRPr="00D613A6">
        <w:rPr>
          <w:noProof w:val="0"/>
          <w:color w:val="17365D"/>
        </w:rPr>
        <w:t>3</w:t>
      </w:r>
      <w:r w:rsidRPr="00D613A6">
        <w:rPr>
          <w:noProof w:val="0"/>
          <w:color w:val="17365D"/>
        </w:rPr>
        <w:t xml:space="preserve">. gadu ir par </w:t>
      </w:r>
      <w:r w:rsidR="008B7096" w:rsidRPr="00D613A6">
        <w:rPr>
          <w:noProof w:val="0"/>
          <w:color w:val="17365D"/>
        </w:rPr>
        <w:t>343,6</w:t>
      </w:r>
      <w:r w:rsidRPr="00D613A6">
        <w:rPr>
          <w:noProof w:val="0"/>
          <w:color w:val="17365D"/>
        </w:rPr>
        <w:t xml:space="preserve"> milj.</w:t>
      </w:r>
      <w:r w:rsidR="00D166E6" w:rsidRPr="00D613A6">
        <w:rPr>
          <w:noProof w:val="0"/>
          <w:color w:val="17365D"/>
        </w:rPr>
        <w:t> </w:t>
      </w:r>
      <w:r w:rsidRPr="00D613A6">
        <w:rPr>
          <w:i/>
          <w:noProof w:val="0"/>
          <w:color w:val="17365D"/>
        </w:rPr>
        <w:t>euro</w:t>
      </w:r>
      <w:r w:rsidRPr="00D613A6">
        <w:rPr>
          <w:noProof w:val="0"/>
          <w:color w:val="17365D"/>
        </w:rPr>
        <w:t xml:space="preserve"> jeb </w:t>
      </w:r>
      <w:r w:rsidR="008B7096" w:rsidRPr="00D613A6">
        <w:rPr>
          <w:noProof w:val="0"/>
          <w:color w:val="17365D"/>
        </w:rPr>
        <w:t>2</w:t>
      </w:r>
      <w:r w:rsidR="00EA39F6" w:rsidRPr="00D613A6">
        <w:rPr>
          <w:noProof w:val="0"/>
          <w:color w:val="17365D"/>
        </w:rPr>
        <w:t>3</w:t>
      </w:r>
      <w:r w:rsidRPr="00D613A6">
        <w:rPr>
          <w:noProof w:val="0"/>
          <w:color w:val="17365D"/>
        </w:rPr>
        <w:t>,</w:t>
      </w:r>
      <w:r w:rsidR="00EA39F6" w:rsidRPr="00D613A6">
        <w:rPr>
          <w:noProof w:val="0"/>
          <w:color w:val="17365D"/>
        </w:rPr>
        <w:t>97</w:t>
      </w:r>
      <w:r w:rsidR="00D166E6" w:rsidRPr="00D613A6">
        <w:rPr>
          <w:noProof w:val="0"/>
          <w:color w:val="17365D"/>
        </w:rPr>
        <w:t> </w:t>
      </w:r>
      <w:r w:rsidRPr="00D613A6">
        <w:rPr>
          <w:noProof w:val="0"/>
          <w:color w:val="17365D"/>
        </w:rPr>
        <w:t xml:space="preserve">% </w:t>
      </w:r>
      <w:r w:rsidR="008B7096" w:rsidRPr="00D613A6">
        <w:rPr>
          <w:noProof w:val="0"/>
          <w:color w:val="17365D"/>
        </w:rPr>
        <w:t>vairāk</w:t>
      </w:r>
      <w:r w:rsidRPr="00D613A6">
        <w:rPr>
          <w:noProof w:val="0"/>
          <w:color w:val="17365D"/>
        </w:rPr>
        <w:t>. 202</w:t>
      </w:r>
      <w:r w:rsidR="009E6275" w:rsidRPr="00D613A6">
        <w:rPr>
          <w:noProof w:val="0"/>
          <w:color w:val="17365D"/>
        </w:rPr>
        <w:t>3</w:t>
      </w:r>
      <w:r w:rsidRPr="00D613A6">
        <w:rPr>
          <w:noProof w:val="0"/>
          <w:color w:val="17365D"/>
        </w:rPr>
        <w:t xml:space="preserve">. gadā valsts pamatbudžeta </w:t>
      </w:r>
      <w:r w:rsidR="00B81BEB" w:rsidRPr="00D613A6">
        <w:rPr>
          <w:noProof w:val="0"/>
          <w:color w:val="17365D"/>
        </w:rPr>
        <w:t>ārvalstu finanšu palīdzības budžeta</w:t>
      </w:r>
      <w:r w:rsidRPr="00D613A6">
        <w:rPr>
          <w:noProof w:val="0"/>
          <w:color w:val="17365D"/>
        </w:rPr>
        <w:t xml:space="preserve"> ieņēmum</w:t>
      </w:r>
      <w:r w:rsidR="00B81BEB" w:rsidRPr="00D613A6">
        <w:rPr>
          <w:noProof w:val="0"/>
          <w:color w:val="17365D"/>
        </w:rPr>
        <w:t>i</w:t>
      </w:r>
      <w:r w:rsidRPr="00D613A6">
        <w:rPr>
          <w:noProof w:val="0"/>
          <w:color w:val="17365D"/>
        </w:rPr>
        <w:t xml:space="preserve"> salīdzinājumā ar Likumā plānoto ir </w:t>
      </w:r>
      <w:r w:rsidR="002A0B3F" w:rsidRPr="00D613A6">
        <w:rPr>
          <w:noProof w:val="0"/>
          <w:color w:val="17365D"/>
        </w:rPr>
        <w:t>saņemti</w:t>
      </w:r>
      <w:r w:rsidRPr="00D613A6">
        <w:rPr>
          <w:noProof w:val="0"/>
          <w:color w:val="17365D"/>
        </w:rPr>
        <w:t xml:space="preserve"> </w:t>
      </w:r>
      <w:r w:rsidR="005E0E2F" w:rsidRPr="00D613A6">
        <w:rPr>
          <w:noProof w:val="0"/>
          <w:color w:val="17365D"/>
        </w:rPr>
        <w:t>89</w:t>
      </w:r>
      <w:r w:rsidRPr="00D613A6">
        <w:rPr>
          <w:noProof w:val="0"/>
          <w:color w:val="17365D"/>
        </w:rPr>
        <w:t>,</w:t>
      </w:r>
      <w:r w:rsidR="005E0E2F" w:rsidRPr="00D613A6">
        <w:rPr>
          <w:noProof w:val="0"/>
          <w:color w:val="17365D"/>
        </w:rPr>
        <w:t>96</w:t>
      </w:r>
      <w:r w:rsidR="00D166E6" w:rsidRPr="00D613A6">
        <w:rPr>
          <w:noProof w:val="0"/>
          <w:color w:val="17365D"/>
        </w:rPr>
        <w:t> </w:t>
      </w:r>
      <w:r w:rsidRPr="00D613A6">
        <w:rPr>
          <w:noProof w:val="0"/>
          <w:color w:val="17365D"/>
        </w:rPr>
        <w:t>% apmērā.</w:t>
      </w:r>
      <w:r w:rsidR="00030B4E" w:rsidRPr="00D613A6">
        <w:rPr>
          <w:noProof w:val="0"/>
          <w:color w:val="17365D"/>
        </w:rPr>
        <w:t xml:space="preserve"> 202</w:t>
      </w:r>
      <w:r w:rsidR="008B7096" w:rsidRPr="00D613A6">
        <w:rPr>
          <w:noProof w:val="0"/>
          <w:color w:val="17365D"/>
        </w:rPr>
        <w:t>4</w:t>
      </w:r>
      <w:r w:rsidR="00030B4E" w:rsidRPr="00D613A6">
        <w:rPr>
          <w:noProof w:val="0"/>
          <w:color w:val="17365D"/>
        </w:rPr>
        <w:t>. gadā ārvalstu fi</w:t>
      </w:r>
      <w:r w:rsidR="009D2D81" w:rsidRPr="00D613A6">
        <w:rPr>
          <w:noProof w:val="0"/>
          <w:color w:val="17365D"/>
        </w:rPr>
        <w:t>nanšu palīdzīb</w:t>
      </w:r>
      <w:r w:rsidR="00B81BEB" w:rsidRPr="00D613A6">
        <w:rPr>
          <w:noProof w:val="0"/>
          <w:color w:val="17365D"/>
        </w:rPr>
        <w:t>as</w:t>
      </w:r>
      <w:r w:rsidR="009D2D81" w:rsidRPr="00D613A6">
        <w:rPr>
          <w:noProof w:val="0"/>
          <w:color w:val="17365D"/>
        </w:rPr>
        <w:t xml:space="preserve"> budžeta</w:t>
      </w:r>
      <w:r w:rsidR="00B538AD" w:rsidRPr="00D613A6">
        <w:rPr>
          <w:noProof w:val="0"/>
          <w:color w:val="17365D"/>
        </w:rPr>
        <w:t xml:space="preserve"> ieņē</w:t>
      </w:r>
      <w:r w:rsidR="00B81BEB" w:rsidRPr="00D613A6">
        <w:rPr>
          <w:noProof w:val="0"/>
          <w:color w:val="17365D"/>
        </w:rPr>
        <w:t>mum</w:t>
      </w:r>
      <w:r w:rsidR="008A77EE" w:rsidRPr="00D613A6">
        <w:rPr>
          <w:noProof w:val="0"/>
          <w:color w:val="17365D"/>
        </w:rPr>
        <w:t>i</w:t>
      </w:r>
      <w:r w:rsidR="00030B4E" w:rsidRPr="00D613A6">
        <w:rPr>
          <w:noProof w:val="0"/>
          <w:color w:val="17365D"/>
        </w:rPr>
        <w:t xml:space="preserve"> </w:t>
      </w:r>
      <w:r w:rsidR="008B7096" w:rsidRPr="00D613A6">
        <w:rPr>
          <w:noProof w:val="0"/>
          <w:color w:val="17365D"/>
        </w:rPr>
        <w:t>palielinājušies</w:t>
      </w:r>
      <w:r w:rsidR="008A77EE" w:rsidRPr="00D613A6">
        <w:rPr>
          <w:noProof w:val="0"/>
          <w:color w:val="17365D"/>
        </w:rPr>
        <w:t xml:space="preserve"> par saņemto fina</w:t>
      </w:r>
      <w:r w:rsidR="007B722C" w:rsidRPr="00D613A6">
        <w:rPr>
          <w:noProof w:val="0"/>
          <w:color w:val="17365D"/>
        </w:rPr>
        <w:t>n</w:t>
      </w:r>
      <w:r w:rsidR="008A77EE" w:rsidRPr="00D613A6">
        <w:rPr>
          <w:noProof w:val="0"/>
          <w:color w:val="17365D"/>
        </w:rPr>
        <w:t>sējumu no</w:t>
      </w:r>
      <w:r w:rsidR="006208AB" w:rsidRPr="00D613A6">
        <w:rPr>
          <w:noProof w:val="0"/>
          <w:color w:val="17365D"/>
        </w:rPr>
        <w:t xml:space="preserve"> </w:t>
      </w:r>
      <w:r w:rsidR="008A77EE" w:rsidRPr="00D613A6">
        <w:rPr>
          <w:noProof w:val="0"/>
          <w:color w:val="17365D"/>
        </w:rPr>
        <w:t xml:space="preserve">Eiropas Komisijas par noslēgto līgumu </w:t>
      </w:r>
      <w:r w:rsidR="009C79F8" w:rsidRPr="00D613A6">
        <w:rPr>
          <w:noProof w:val="0"/>
          <w:color w:val="17365D"/>
        </w:rPr>
        <w:t xml:space="preserve">par </w:t>
      </w:r>
      <w:r w:rsidR="006208AB" w:rsidRPr="00D613A6">
        <w:rPr>
          <w:noProof w:val="0"/>
          <w:color w:val="17365D"/>
        </w:rPr>
        <w:t>Eiropas Atveseļošanas un noturības mehānism</w:t>
      </w:r>
      <w:r w:rsidR="009C79F8" w:rsidRPr="00D613A6">
        <w:rPr>
          <w:noProof w:val="0"/>
          <w:color w:val="17365D"/>
        </w:rPr>
        <w:t>u</w:t>
      </w:r>
      <w:r w:rsidR="008A77EE" w:rsidRPr="00D613A6">
        <w:rPr>
          <w:noProof w:val="0"/>
          <w:color w:val="17365D"/>
        </w:rPr>
        <w:t>.</w:t>
      </w:r>
      <w:r w:rsidR="006208AB" w:rsidRPr="00D613A6">
        <w:rPr>
          <w:noProof w:val="0"/>
          <w:color w:val="17365D"/>
        </w:rPr>
        <w:t xml:space="preserve"> </w:t>
      </w:r>
      <w:r w:rsidR="00030B4E" w:rsidRPr="00D613A6">
        <w:rPr>
          <w:noProof w:val="0"/>
          <w:color w:val="17365D"/>
        </w:rPr>
        <w:t xml:space="preserve">Detalizēta informācija skatāma </w:t>
      </w:r>
      <w:r w:rsidR="00DE5AE7" w:rsidRPr="00D613A6">
        <w:rPr>
          <w:noProof w:val="0"/>
          <w:color w:val="17365D"/>
        </w:rPr>
        <w:t>6.</w:t>
      </w:r>
      <w:r w:rsidR="00EA39F6" w:rsidRPr="00D613A6">
        <w:rPr>
          <w:noProof w:val="0"/>
          <w:color w:val="17365D"/>
        </w:rPr>
        <w:t>3</w:t>
      </w:r>
      <w:r w:rsidR="008D42FD" w:rsidRPr="00D613A6">
        <w:rPr>
          <w:noProof w:val="0"/>
          <w:color w:val="17365D"/>
        </w:rPr>
        <w:t>. </w:t>
      </w:r>
      <w:r w:rsidR="00030B4E" w:rsidRPr="00D613A6">
        <w:rPr>
          <w:noProof w:val="0"/>
          <w:color w:val="17365D"/>
        </w:rPr>
        <w:t>tabulā</w:t>
      </w:r>
      <w:r w:rsidR="00D166E6" w:rsidRPr="00D613A6">
        <w:rPr>
          <w:noProof w:val="0"/>
          <w:color w:val="17365D"/>
        </w:rPr>
        <w:t>.</w:t>
      </w:r>
    </w:p>
    <w:p w14:paraId="195BD00A" w14:textId="2F26042A" w:rsidR="00030B4E" w:rsidRPr="00D613A6" w:rsidRDefault="00DE5AE7" w:rsidP="00AB3911">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3</w:t>
      </w:r>
      <w:r w:rsidR="00030B4E" w:rsidRPr="00D613A6">
        <w:rPr>
          <w:rFonts w:eastAsia="Arial Unicode MS"/>
          <w:i/>
          <w:color w:val="17365D"/>
          <w:sz w:val="20"/>
        </w:rPr>
        <w:t xml:space="preserve">. tabula. Ārvalstu finanšu palīdzība </w:t>
      </w:r>
      <w:r w:rsidR="00AC0715" w:rsidRPr="00D613A6">
        <w:rPr>
          <w:rFonts w:eastAsia="Arial Unicode MS"/>
          <w:i/>
          <w:color w:val="17365D"/>
          <w:sz w:val="20"/>
        </w:rPr>
        <w:t>pamat</w:t>
      </w:r>
      <w:r w:rsidR="00030B4E" w:rsidRPr="00D613A6">
        <w:rPr>
          <w:rFonts w:eastAsia="Arial Unicode MS"/>
          <w:i/>
          <w:color w:val="17365D"/>
          <w:sz w:val="20"/>
        </w:rPr>
        <w:t>budžetam</w:t>
      </w:r>
      <w:r w:rsidR="004B3A57" w:rsidRPr="00D613A6">
        <w:rPr>
          <w:rFonts w:eastAsia="Arial Unicode MS"/>
          <w:i/>
          <w:color w:val="17365D"/>
          <w:sz w:val="20"/>
        </w:rPr>
        <w:t xml:space="preserve"> </w:t>
      </w:r>
      <w:r w:rsidR="00030B4E" w:rsidRPr="00D613A6">
        <w:rPr>
          <w:bCs/>
          <w:i/>
          <w:color w:val="17365D"/>
          <w:sz w:val="20"/>
          <w:szCs w:val="20"/>
        </w:rPr>
        <w:t>ieņēmumu izmaiņas (</w:t>
      </w:r>
      <w:r w:rsidR="00030B4E" w:rsidRPr="00D613A6">
        <w:rPr>
          <w:i/>
          <w:color w:val="17365D"/>
          <w:sz w:val="20"/>
        </w:rPr>
        <w:t>euro)</w:t>
      </w:r>
    </w:p>
    <w:tbl>
      <w:tblPr>
        <w:tblStyle w:val="TableGrid"/>
        <w:tblW w:w="9384" w:type="dxa"/>
        <w:tblInd w:w="-5" w:type="dxa"/>
        <w:tblLayout w:type="fixed"/>
        <w:tblLook w:val="04A0" w:firstRow="1" w:lastRow="0" w:firstColumn="1" w:lastColumn="0" w:noHBand="0" w:noVBand="1"/>
      </w:tblPr>
      <w:tblGrid>
        <w:gridCol w:w="890"/>
        <w:gridCol w:w="2539"/>
        <w:gridCol w:w="1468"/>
        <w:gridCol w:w="1468"/>
        <w:gridCol w:w="1603"/>
        <w:gridCol w:w="1416"/>
      </w:tblGrid>
      <w:tr w:rsidR="00D613A6" w:rsidRPr="00D613A6" w14:paraId="5F572421" w14:textId="77777777" w:rsidTr="000A5BFC">
        <w:trPr>
          <w:cantSplit/>
          <w:trHeight w:val="284"/>
          <w:tblHeader/>
        </w:trPr>
        <w:tc>
          <w:tcPr>
            <w:tcW w:w="901" w:type="dxa"/>
            <w:vMerge w:val="restart"/>
            <w:tcBorders>
              <w:top w:val="nil"/>
              <w:left w:val="nil"/>
              <w:bottom w:val="single" w:sz="4" w:space="0" w:color="17365D"/>
              <w:right w:val="nil"/>
            </w:tcBorders>
            <w:shd w:val="clear" w:color="auto" w:fill="B9CDE5"/>
            <w:vAlign w:val="center"/>
          </w:tcPr>
          <w:p w14:paraId="77D07B52"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1417FB51"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77111615"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58924A7"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595012C7"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(1.– 2.)</w:t>
            </w:r>
          </w:p>
        </w:tc>
        <w:tc>
          <w:tcPr>
            <w:tcW w:w="1434" w:type="dxa"/>
            <w:vMerge w:val="restart"/>
            <w:tcBorders>
              <w:top w:val="nil"/>
              <w:left w:val="nil"/>
              <w:bottom w:val="single" w:sz="4" w:space="0" w:color="17365D"/>
              <w:right w:val="nil"/>
            </w:tcBorders>
            <w:shd w:val="clear" w:color="auto" w:fill="B9CDE5"/>
            <w:vAlign w:val="center"/>
          </w:tcPr>
          <w:p w14:paraId="6FED3CA6"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7B3C9CC5" w14:textId="0BDA07CC" w:rsidR="00030B4E" w:rsidRPr="00D613A6" w:rsidRDefault="00030B4E" w:rsidP="00F000A6">
            <w:pPr>
              <w:pStyle w:val="Pamatteksts1"/>
              <w:spacing w:before="60" w:afterLines="30" w:after="72"/>
              <w:ind w:firstLine="0"/>
              <w:jc w:val="center"/>
              <w:rPr>
                <w:b/>
                <w:color w:val="17365D"/>
                <w:sz w:val="20"/>
                <w:szCs w:val="20"/>
              </w:rPr>
            </w:pPr>
            <w:r w:rsidRPr="00D613A6">
              <w:rPr>
                <w:b/>
                <w:color w:val="17365D"/>
                <w:sz w:val="20"/>
                <w:szCs w:val="20"/>
              </w:rPr>
              <w:t>(</w:t>
            </w:r>
            <w:r w:rsidR="0028612D" w:rsidRPr="00D613A6">
              <w:rPr>
                <w:b/>
                <w:color w:val="17365D"/>
                <w:sz w:val="20"/>
                <w:szCs w:val="20"/>
              </w:rPr>
              <w:t>3</w:t>
            </w:r>
            <w:r w:rsidRPr="00D613A6">
              <w:rPr>
                <w:b/>
                <w:color w:val="17365D"/>
                <w:sz w:val="20"/>
                <w:szCs w:val="20"/>
              </w:rPr>
              <w:t>./2. x 100)</w:t>
            </w:r>
          </w:p>
        </w:tc>
      </w:tr>
      <w:tr w:rsidR="00D613A6" w:rsidRPr="00D613A6" w14:paraId="21E5BD97" w14:textId="77777777" w:rsidTr="000A5BFC">
        <w:trPr>
          <w:cantSplit/>
          <w:trHeight w:val="284"/>
        </w:trPr>
        <w:tc>
          <w:tcPr>
            <w:tcW w:w="901" w:type="dxa"/>
            <w:vMerge/>
            <w:tcBorders>
              <w:top w:val="single" w:sz="4" w:space="0" w:color="17365D"/>
              <w:left w:val="nil"/>
              <w:bottom w:val="nil"/>
              <w:right w:val="nil"/>
            </w:tcBorders>
            <w:shd w:val="clear" w:color="auto" w:fill="auto"/>
            <w:vAlign w:val="center"/>
          </w:tcPr>
          <w:p w14:paraId="2D11FBDA" w14:textId="77777777" w:rsidR="00030B4E" w:rsidRPr="00D613A6" w:rsidRDefault="00030B4E" w:rsidP="00D166E6">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25F7A952" w14:textId="77777777" w:rsidR="00030B4E" w:rsidRPr="00D613A6" w:rsidRDefault="00030B4E" w:rsidP="00D166E6">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29278170" w14:textId="77777777" w:rsidR="00030B4E" w:rsidRPr="00D613A6" w:rsidRDefault="00030B4E" w:rsidP="00D166E6">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6B9D6693" w14:textId="77777777" w:rsidR="00030B4E" w:rsidRPr="00D613A6" w:rsidRDefault="00030B4E" w:rsidP="00D166E6">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1074FAC9" w14:textId="77777777" w:rsidR="00030B4E" w:rsidRPr="00D613A6" w:rsidRDefault="00030B4E" w:rsidP="00D166E6">
            <w:pPr>
              <w:pStyle w:val="Pamatteksts1"/>
              <w:spacing w:before="60" w:after="60"/>
              <w:ind w:left="-104" w:right="-112" w:firstLine="0"/>
              <w:jc w:val="center"/>
              <w:rPr>
                <w:b/>
                <w:color w:val="17365D"/>
                <w:sz w:val="20"/>
                <w:szCs w:val="20"/>
              </w:rPr>
            </w:pPr>
          </w:p>
        </w:tc>
        <w:tc>
          <w:tcPr>
            <w:tcW w:w="1434" w:type="dxa"/>
            <w:vMerge/>
            <w:tcBorders>
              <w:top w:val="single" w:sz="4" w:space="0" w:color="17365D"/>
              <w:left w:val="nil"/>
              <w:bottom w:val="nil"/>
              <w:right w:val="nil"/>
            </w:tcBorders>
            <w:shd w:val="clear" w:color="auto" w:fill="auto"/>
            <w:vAlign w:val="center"/>
          </w:tcPr>
          <w:p w14:paraId="72C59B5A" w14:textId="77777777" w:rsidR="00030B4E" w:rsidRPr="00D613A6" w:rsidRDefault="00030B4E" w:rsidP="00D166E6">
            <w:pPr>
              <w:spacing w:before="60" w:afterLines="30" w:after="72"/>
              <w:ind w:firstLine="0"/>
              <w:jc w:val="center"/>
              <w:rPr>
                <w:color w:val="17365D"/>
                <w:sz w:val="20"/>
                <w:szCs w:val="20"/>
              </w:rPr>
            </w:pPr>
          </w:p>
        </w:tc>
      </w:tr>
      <w:tr w:rsidR="00D613A6" w:rsidRPr="00D613A6" w14:paraId="57502D3D" w14:textId="77777777" w:rsidTr="000A5BFC">
        <w:trPr>
          <w:cantSplit/>
        </w:trPr>
        <w:tc>
          <w:tcPr>
            <w:tcW w:w="901" w:type="dxa"/>
            <w:tcBorders>
              <w:top w:val="nil"/>
              <w:left w:val="nil"/>
              <w:bottom w:val="single" w:sz="4" w:space="0" w:color="17365D"/>
              <w:right w:val="nil"/>
            </w:tcBorders>
            <w:shd w:val="clear" w:color="auto" w:fill="auto"/>
            <w:vAlign w:val="center"/>
          </w:tcPr>
          <w:p w14:paraId="05A700EF"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72DB7157"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6798105D"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FB8A011"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8E195AC"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3</w:t>
            </w:r>
          </w:p>
        </w:tc>
        <w:tc>
          <w:tcPr>
            <w:tcW w:w="1434" w:type="dxa"/>
            <w:tcBorders>
              <w:top w:val="nil"/>
              <w:left w:val="nil"/>
              <w:bottom w:val="single" w:sz="4" w:space="0" w:color="17365D"/>
              <w:right w:val="nil"/>
            </w:tcBorders>
            <w:shd w:val="clear" w:color="auto" w:fill="auto"/>
            <w:vAlign w:val="center"/>
          </w:tcPr>
          <w:p w14:paraId="0137DE1A"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1B9D9D79"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39E453EE" w14:textId="17CF304C"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07749D71" w14:textId="10AE494F"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 xml:space="preserve">Ārvalstu finanšu palīdzība </w:t>
            </w:r>
          </w:p>
        </w:tc>
        <w:tc>
          <w:tcPr>
            <w:tcW w:w="1486" w:type="dxa"/>
            <w:tcBorders>
              <w:top w:val="single" w:sz="4" w:space="0" w:color="17365D"/>
              <w:left w:val="nil"/>
              <w:bottom w:val="single" w:sz="4" w:space="0" w:color="17365D"/>
              <w:right w:val="nil"/>
            </w:tcBorders>
            <w:shd w:val="clear" w:color="auto" w:fill="auto"/>
            <w:vAlign w:val="center"/>
          </w:tcPr>
          <w:p w14:paraId="1FC8B292" w14:textId="55D533D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1 777 240 013</w:t>
            </w:r>
          </w:p>
        </w:tc>
        <w:tc>
          <w:tcPr>
            <w:tcW w:w="1486" w:type="dxa"/>
            <w:tcBorders>
              <w:top w:val="single" w:sz="4" w:space="0" w:color="17365D"/>
              <w:left w:val="nil"/>
              <w:bottom w:val="single" w:sz="4" w:space="0" w:color="17365D"/>
              <w:right w:val="nil"/>
            </w:tcBorders>
            <w:shd w:val="clear" w:color="auto" w:fill="auto"/>
            <w:vAlign w:val="center"/>
          </w:tcPr>
          <w:p w14:paraId="71775F8E" w14:textId="4219B439"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1 433 594 153</w:t>
            </w:r>
          </w:p>
        </w:tc>
        <w:tc>
          <w:tcPr>
            <w:tcW w:w="1623" w:type="dxa"/>
            <w:tcBorders>
              <w:top w:val="single" w:sz="4" w:space="0" w:color="17365D"/>
              <w:left w:val="nil"/>
              <w:bottom w:val="single" w:sz="4" w:space="0" w:color="17365D"/>
              <w:right w:val="nil"/>
            </w:tcBorders>
            <w:shd w:val="clear" w:color="auto" w:fill="auto"/>
            <w:vAlign w:val="center"/>
          </w:tcPr>
          <w:p w14:paraId="0B99C699" w14:textId="2FC37D24"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343 645 860</w:t>
            </w:r>
          </w:p>
        </w:tc>
        <w:tc>
          <w:tcPr>
            <w:tcW w:w="1434" w:type="dxa"/>
            <w:tcBorders>
              <w:top w:val="single" w:sz="4" w:space="0" w:color="17365D"/>
              <w:left w:val="nil"/>
              <w:bottom w:val="single" w:sz="4" w:space="0" w:color="17365D"/>
              <w:right w:val="nil"/>
            </w:tcBorders>
            <w:shd w:val="clear" w:color="auto" w:fill="auto"/>
            <w:vAlign w:val="center"/>
          </w:tcPr>
          <w:p w14:paraId="25648060" w14:textId="70B6FD70"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23.97</w:t>
            </w:r>
          </w:p>
        </w:tc>
      </w:tr>
      <w:tr w:rsidR="00D613A6" w:rsidRPr="00D613A6" w14:paraId="3117545B"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08AEE016" w14:textId="63B93A27"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20.3.0.0</w:t>
            </w:r>
          </w:p>
        </w:tc>
        <w:tc>
          <w:tcPr>
            <w:tcW w:w="2573" w:type="dxa"/>
            <w:tcBorders>
              <w:top w:val="single" w:sz="4" w:space="0" w:color="17365D"/>
              <w:left w:val="nil"/>
              <w:bottom w:val="single" w:sz="4" w:space="0" w:color="17365D"/>
              <w:right w:val="nil"/>
            </w:tcBorders>
            <w:shd w:val="clear" w:color="auto" w:fill="auto"/>
            <w:vAlign w:val="center"/>
          </w:tcPr>
          <w:p w14:paraId="37D75727" w14:textId="27B2B861"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Ieņēmumi no Eiropas Savienības strukturālajiem un investīciju fondiem un Eiropas Savienības kopējās lauksaimniecības politikas īstenošanas instrumentiem</w:t>
            </w:r>
          </w:p>
        </w:tc>
        <w:tc>
          <w:tcPr>
            <w:tcW w:w="1486" w:type="dxa"/>
            <w:tcBorders>
              <w:top w:val="single" w:sz="4" w:space="0" w:color="17365D"/>
              <w:left w:val="nil"/>
              <w:bottom w:val="single" w:sz="4" w:space="0" w:color="17365D"/>
              <w:right w:val="nil"/>
            </w:tcBorders>
            <w:shd w:val="clear" w:color="auto" w:fill="auto"/>
            <w:vAlign w:val="center"/>
          </w:tcPr>
          <w:p w14:paraId="5B373E9F" w14:textId="463CE00C"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1 048 351 775</w:t>
            </w:r>
          </w:p>
        </w:tc>
        <w:tc>
          <w:tcPr>
            <w:tcW w:w="1486" w:type="dxa"/>
            <w:tcBorders>
              <w:top w:val="single" w:sz="4" w:space="0" w:color="17365D"/>
              <w:left w:val="nil"/>
              <w:bottom w:val="single" w:sz="4" w:space="0" w:color="17365D"/>
              <w:right w:val="nil"/>
            </w:tcBorders>
            <w:shd w:val="clear" w:color="auto" w:fill="auto"/>
            <w:vAlign w:val="center"/>
          </w:tcPr>
          <w:p w14:paraId="716A303A" w14:textId="47C9577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1 156 864 308</w:t>
            </w:r>
          </w:p>
        </w:tc>
        <w:tc>
          <w:tcPr>
            <w:tcW w:w="1623" w:type="dxa"/>
            <w:tcBorders>
              <w:top w:val="single" w:sz="4" w:space="0" w:color="17365D"/>
              <w:left w:val="nil"/>
              <w:bottom w:val="single" w:sz="4" w:space="0" w:color="17365D"/>
              <w:right w:val="nil"/>
            </w:tcBorders>
            <w:shd w:val="clear" w:color="auto" w:fill="auto"/>
            <w:vAlign w:val="center"/>
          </w:tcPr>
          <w:p w14:paraId="11C91271" w14:textId="59A4EB0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-108 512 533</w:t>
            </w:r>
          </w:p>
        </w:tc>
        <w:tc>
          <w:tcPr>
            <w:tcW w:w="1434" w:type="dxa"/>
            <w:tcBorders>
              <w:top w:val="single" w:sz="4" w:space="0" w:color="17365D"/>
              <w:left w:val="nil"/>
              <w:bottom w:val="single" w:sz="4" w:space="0" w:color="17365D"/>
              <w:right w:val="nil"/>
            </w:tcBorders>
            <w:shd w:val="clear" w:color="auto" w:fill="auto"/>
            <w:vAlign w:val="center"/>
          </w:tcPr>
          <w:p w14:paraId="69D525C8" w14:textId="081FFAEF"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-9.38</w:t>
            </w:r>
          </w:p>
        </w:tc>
      </w:tr>
      <w:tr w:rsidR="00D613A6" w:rsidRPr="00D613A6" w14:paraId="26D52BFF"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57EE1C02" w14:textId="79866CEB"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20.6.0.0</w:t>
            </w:r>
          </w:p>
        </w:tc>
        <w:tc>
          <w:tcPr>
            <w:tcW w:w="2573" w:type="dxa"/>
            <w:tcBorders>
              <w:top w:val="single" w:sz="4" w:space="0" w:color="17365D"/>
              <w:left w:val="nil"/>
              <w:bottom w:val="single" w:sz="4" w:space="0" w:color="17365D"/>
              <w:right w:val="nil"/>
            </w:tcBorders>
            <w:shd w:val="clear" w:color="auto" w:fill="auto"/>
            <w:vAlign w:val="center"/>
          </w:tcPr>
          <w:p w14:paraId="64B56B97" w14:textId="79B8FD52"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Pārējie ieņēmumi no Eiropas Savienības</w:t>
            </w:r>
          </w:p>
        </w:tc>
        <w:tc>
          <w:tcPr>
            <w:tcW w:w="1486" w:type="dxa"/>
            <w:tcBorders>
              <w:top w:val="single" w:sz="4" w:space="0" w:color="17365D"/>
              <w:left w:val="nil"/>
              <w:bottom w:val="single" w:sz="4" w:space="0" w:color="17365D"/>
              <w:right w:val="nil"/>
            </w:tcBorders>
            <w:shd w:val="clear" w:color="auto" w:fill="auto"/>
            <w:vAlign w:val="center"/>
          </w:tcPr>
          <w:p w14:paraId="1EED6B28" w14:textId="1AE7694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430 702 208</w:t>
            </w:r>
          </w:p>
        </w:tc>
        <w:tc>
          <w:tcPr>
            <w:tcW w:w="1486" w:type="dxa"/>
            <w:tcBorders>
              <w:top w:val="single" w:sz="4" w:space="0" w:color="17365D"/>
              <w:left w:val="nil"/>
              <w:bottom w:val="single" w:sz="4" w:space="0" w:color="17365D"/>
              <w:right w:val="nil"/>
            </w:tcBorders>
            <w:shd w:val="clear" w:color="auto" w:fill="auto"/>
            <w:vAlign w:val="center"/>
          </w:tcPr>
          <w:p w14:paraId="15349535" w14:textId="5774EF96"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4 531 018</w:t>
            </w:r>
          </w:p>
        </w:tc>
        <w:tc>
          <w:tcPr>
            <w:tcW w:w="1623" w:type="dxa"/>
            <w:tcBorders>
              <w:top w:val="single" w:sz="4" w:space="0" w:color="17365D"/>
              <w:left w:val="nil"/>
              <w:bottom w:val="single" w:sz="4" w:space="0" w:color="17365D"/>
              <w:right w:val="nil"/>
            </w:tcBorders>
            <w:shd w:val="clear" w:color="auto" w:fill="auto"/>
            <w:vAlign w:val="center"/>
          </w:tcPr>
          <w:p w14:paraId="1D4CC429" w14:textId="452FA0E3" w:rsidR="00AB0C73" w:rsidRPr="00D613A6" w:rsidRDefault="00AB0C73" w:rsidP="00E809A0">
            <w:pPr>
              <w:pStyle w:val="Pamatteksts1"/>
              <w:spacing w:before="40" w:after="40"/>
              <w:ind w:firstLine="0"/>
              <w:jc w:val="right"/>
              <w:rPr>
                <w:bCs/>
                <w:color w:val="17365D"/>
                <w:sz w:val="20"/>
                <w:szCs w:val="20"/>
              </w:rPr>
            </w:pPr>
            <w:r w:rsidRPr="00D613A6">
              <w:rPr>
                <w:bCs/>
                <w:color w:val="17365D"/>
                <w:sz w:val="20"/>
                <w:szCs w:val="20"/>
              </w:rPr>
              <w:t xml:space="preserve">426 171 </w:t>
            </w:r>
            <w:r w:rsidR="00E809A0" w:rsidRPr="00D613A6">
              <w:rPr>
                <w:bCs/>
                <w:color w:val="17365D"/>
                <w:sz w:val="20"/>
                <w:szCs w:val="20"/>
              </w:rPr>
              <w:t>190</w:t>
            </w:r>
          </w:p>
        </w:tc>
        <w:tc>
          <w:tcPr>
            <w:tcW w:w="1434" w:type="dxa"/>
            <w:tcBorders>
              <w:top w:val="single" w:sz="4" w:space="0" w:color="17365D"/>
              <w:left w:val="nil"/>
              <w:bottom w:val="single" w:sz="4" w:space="0" w:color="17365D"/>
              <w:right w:val="nil"/>
            </w:tcBorders>
            <w:shd w:val="clear" w:color="auto" w:fill="auto"/>
            <w:vAlign w:val="center"/>
          </w:tcPr>
          <w:p w14:paraId="250E0B53" w14:textId="748E8A8C" w:rsidR="00AB0C73" w:rsidRPr="00D613A6" w:rsidRDefault="00E809A0" w:rsidP="00AB0C73">
            <w:pPr>
              <w:pStyle w:val="Pamatteksts1"/>
              <w:spacing w:before="40" w:after="40"/>
              <w:ind w:firstLine="0"/>
              <w:jc w:val="right"/>
              <w:rPr>
                <w:bCs/>
                <w:color w:val="17365D"/>
                <w:sz w:val="20"/>
                <w:szCs w:val="20"/>
              </w:rPr>
            </w:pPr>
            <w:r w:rsidRPr="00D613A6">
              <w:rPr>
                <w:bCs/>
                <w:color w:val="17365D"/>
                <w:sz w:val="20"/>
                <w:szCs w:val="20"/>
              </w:rPr>
              <w:t>9405.64</w:t>
            </w:r>
          </w:p>
        </w:tc>
      </w:tr>
      <w:tr w:rsidR="00D613A6" w:rsidRPr="00D613A6" w14:paraId="77586C45"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5B059BFE" w14:textId="6F6C2F68"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lastRenderedPageBreak/>
              <w:t>20.7.0.0</w:t>
            </w:r>
          </w:p>
        </w:tc>
        <w:tc>
          <w:tcPr>
            <w:tcW w:w="2573" w:type="dxa"/>
            <w:tcBorders>
              <w:top w:val="single" w:sz="4" w:space="0" w:color="17365D"/>
              <w:left w:val="nil"/>
              <w:bottom w:val="single" w:sz="4" w:space="0" w:color="17365D"/>
              <w:right w:val="nil"/>
            </w:tcBorders>
            <w:shd w:val="clear" w:color="auto" w:fill="auto"/>
            <w:vAlign w:val="center"/>
          </w:tcPr>
          <w:p w14:paraId="013E4E9F" w14:textId="4595E970"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Atmaksa valsts budžetā par neatbilstoši veiktajiem izdevumiem par Eiropas Savienības politiku instrumentu un pārējās ārvalstu finanšu palīdzības finansēto projektu (pasākumu) īstenošanu</w:t>
            </w:r>
          </w:p>
        </w:tc>
        <w:tc>
          <w:tcPr>
            <w:tcW w:w="1486" w:type="dxa"/>
            <w:tcBorders>
              <w:top w:val="single" w:sz="4" w:space="0" w:color="17365D"/>
              <w:left w:val="nil"/>
              <w:bottom w:val="single" w:sz="4" w:space="0" w:color="17365D"/>
              <w:right w:val="nil"/>
            </w:tcBorders>
            <w:shd w:val="clear" w:color="auto" w:fill="auto"/>
            <w:vAlign w:val="center"/>
          </w:tcPr>
          <w:p w14:paraId="4E5ADA17" w14:textId="5A5B0A0A"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8 590 717</w:t>
            </w:r>
          </w:p>
        </w:tc>
        <w:tc>
          <w:tcPr>
            <w:tcW w:w="1486" w:type="dxa"/>
            <w:tcBorders>
              <w:top w:val="single" w:sz="4" w:space="0" w:color="17365D"/>
              <w:left w:val="nil"/>
              <w:bottom w:val="single" w:sz="4" w:space="0" w:color="17365D"/>
              <w:right w:val="nil"/>
            </w:tcBorders>
            <w:shd w:val="clear" w:color="auto" w:fill="auto"/>
            <w:vAlign w:val="center"/>
          </w:tcPr>
          <w:p w14:paraId="0E6D8445" w14:textId="0810DDE1"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3 764 913</w:t>
            </w:r>
          </w:p>
        </w:tc>
        <w:tc>
          <w:tcPr>
            <w:tcW w:w="1623" w:type="dxa"/>
            <w:tcBorders>
              <w:top w:val="single" w:sz="4" w:space="0" w:color="17365D"/>
              <w:left w:val="nil"/>
              <w:bottom w:val="single" w:sz="4" w:space="0" w:color="17365D"/>
              <w:right w:val="nil"/>
            </w:tcBorders>
            <w:shd w:val="clear" w:color="auto" w:fill="auto"/>
            <w:vAlign w:val="center"/>
          </w:tcPr>
          <w:p w14:paraId="1A77F6D4" w14:textId="32B6C1A3"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4</w:t>
            </w:r>
            <w:r w:rsidR="00AB0C73" w:rsidRPr="00D613A6">
              <w:rPr>
                <w:bCs/>
                <w:color w:val="17365D"/>
                <w:sz w:val="20"/>
                <w:szCs w:val="20"/>
              </w:rPr>
              <w:t xml:space="preserve"> </w:t>
            </w:r>
            <w:r w:rsidRPr="00D613A6">
              <w:rPr>
                <w:bCs/>
                <w:color w:val="17365D"/>
                <w:sz w:val="20"/>
                <w:szCs w:val="20"/>
              </w:rPr>
              <w:t>825</w:t>
            </w:r>
            <w:r w:rsidR="00AB0C73" w:rsidRPr="00D613A6">
              <w:rPr>
                <w:bCs/>
                <w:color w:val="17365D"/>
                <w:sz w:val="20"/>
                <w:szCs w:val="20"/>
              </w:rPr>
              <w:t xml:space="preserve"> </w:t>
            </w:r>
            <w:r w:rsidRPr="00D613A6">
              <w:rPr>
                <w:bCs/>
                <w:color w:val="17365D"/>
                <w:sz w:val="20"/>
                <w:szCs w:val="20"/>
              </w:rPr>
              <w:t>804</w:t>
            </w:r>
          </w:p>
        </w:tc>
        <w:tc>
          <w:tcPr>
            <w:tcW w:w="1434" w:type="dxa"/>
            <w:tcBorders>
              <w:top w:val="single" w:sz="4" w:space="0" w:color="17365D"/>
              <w:left w:val="nil"/>
              <w:bottom w:val="single" w:sz="4" w:space="0" w:color="17365D"/>
              <w:right w:val="nil"/>
            </w:tcBorders>
            <w:shd w:val="clear" w:color="auto" w:fill="auto"/>
            <w:vAlign w:val="center"/>
          </w:tcPr>
          <w:p w14:paraId="0744D97E" w14:textId="44F90407"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128</w:t>
            </w:r>
            <w:r w:rsidR="00AB0C73" w:rsidRPr="00D613A6">
              <w:rPr>
                <w:bCs/>
                <w:color w:val="17365D"/>
                <w:sz w:val="20"/>
                <w:szCs w:val="20"/>
              </w:rPr>
              <w:t>.</w:t>
            </w:r>
            <w:r w:rsidRPr="00D613A6">
              <w:rPr>
                <w:bCs/>
                <w:color w:val="17365D"/>
                <w:sz w:val="20"/>
                <w:szCs w:val="20"/>
              </w:rPr>
              <w:t>18</w:t>
            </w:r>
          </w:p>
        </w:tc>
      </w:tr>
      <w:tr w:rsidR="00D613A6" w:rsidRPr="00D613A6" w14:paraId="54EFACDF" w14:textId="77777777" w:rsidTr="000A5BFC">
        <w:trPr>
          <w:cantSplit/>
        </w:trPr>
        <w:tc>
          <w:tcPr>
            <w:tcW w:w="901" w:type="dxa"/>
            <w:tcBorders>
              <w:top w:val="single" w:sz="4" w:space="0" w:color="17365D"/>
              <w:left w:val="nil"/>
              <w:bottom w:val="nil"/>
              <w:right w:val="nil"/>
            </w:tcBorders>
            <w:shd w:val="clear" w:color="auto" w:fill="auto"/>
            <w:vAlign w:val="center"/>
          </w:tcPr>
          <w:p w14:paraId="78EEF736" w14:textId="06FABC20"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20.8.0.0</w:t>
            </w:r>
          </w:p>
        </w:tc>
        <w:tc>
          <w:tcPr>
            <w:tcW w:w="2573" w:type="dxa"/>
            <w:tcBorders>
              <w:top w:val="single" w:sz="4" w:space="0" w:color="17365D"/>
              <w:left w:val="nil"/>
              <w:bottom w:val="nil"/>
              <w:right w:val="nil"/>
            </w:tcBorders>
            <w:shd w:val="clear" w:color="auto" w:fill="auto"/>
            <w:vAlign w:val="center"/>
          </w:tcPr>
          <w:p w14:paraId="028EDCB7" w14:textId="3895B80B"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Ieņēmumi no pārējām valstīm un institūcijām, kuras nav Eiropas Savienības dalībvalstis un Eiropas Savienības institūcijas</w:t>
            </w:r>
          </w:p>
        </w:tc>
        <w:tc>
          <w:tcPr>
            <w:tcW w:w="1486" w:type="dxa"/>
            <w:tcBorders>
              <w:top w:val="single" w:sz="4" w:space="0" w:color="17365D"/>
              <w:left w:val="nil"/>
              <w:bottom w:val="nil"/>
              <w:right w:val="nil"/>
            </w:tcBorders>
            <w:shd w:val="clear" w:color="auto" w:fill="auto"/>
            <w:vAlign w:val="center"/>
          </w:tcPr>
          <w:p w14:paraId="3DB602F7" w14:textId="64A57728"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26 131 027</w:t>
            </w:r>
          </w:p>
        </w:tc>
        <w:tc>
          <w:tcPr>
            <w:tcW w:w="1486" w:type="dxa"/>
            <w:tcBorders>
              <w:top w:val="single" w:sz="4" w:space="0" w:color="17365D"/>
              <w:left w:val="nil"/>
              <w:bottom w:val="nil"/>
              <w:right w:val="nil"/>
            </w:tcBorders>
            <w:shd w:val="clear" w:color="auto" w:fill="auto"/>
            <w:vAlign w:val="center"/>
          </w:tcPr>
          <w:p w14:paraId="0A9C9733" w14:textId="0A3A73A8"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12 820 170</w:t>
            </w:r>
          </w:p>
        </w:tc>
        <w:tc>
          <w:tcPr>
            <w:tcW w:w="1623" w:type="dxa"/>
            <w:tcBorders>
              <w:top w:val="single" w:sz="4" w:space="0" w:color="17365D"/>
              <w:left w:val="nil"/>
              <w:bottom w:val="nil"/>
              <w:right w:val="nil"/>
            </w:tcBorders>
            <w:shd w:val="clear" w:color="auto" w:fill="auto"/>
            <w:vAlign w:val="center"/>
          </w:tcPr>
          <w:p w14:paraId="3461455D" w14:textId="394C67DD"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13</w:t>
            </w:r>
            <w:r w:rsidR="00AB0C73" w:rsidRPr="00D613A6">
              <w:rPr>
                <w:bCs/>
                <w:color w:val="17365D"/>
                <w:sz w:val="20"/>
                <w:szCs w:val="20"/>
              </w:rPr>
              <w:t xml:space="preserve"> </w:t>
            </w:r>
            <w:r w:rsidRPr="00D613A6">
              <w:rPr>
                <w:bCs/>
                <w:color w:val="17365D"/>
                <w:sz w:val="20"/>
                <w:szCs w:val="20"/>
              </w:rPr>
              <w:t>310</w:t>
            </w:r>
            <w:r w:rsidR="00AB0C73" w:rsidRPr="00D613A6">
              <w:rPr>
                <w:bCs/>
                <w:color w:val="17365D"/>
                <w:sz w:val="20"/>
                <w:szCs w:val="20"/>
              </w:rPr>
              <w:t xml:space="preserve"> </w:t>
            </w:r>
            <w:r w:rsidRPr="00D613A6">
              <w:rPr>
                <w:bCs/>
                <w:color w:val="17365D"/>
                <w:sz w:val="20"/>
                <w:szCs w:val="20"/>
              </w:rPr>
              <w:t>857</w:t>
            </w:r>
          </w:p>
        </w:tc>
        <w:tc>
          <w:tcPr>
            <w:tcW w:w="1434" w:type="dxa"/>
            <w:tcBorders>
              <w:top w:val="single" w:sz="4" w:space="0" w:color="17365D"/>
              <w:left w:val="nil"/>
              <w:bottom w:val="nil"/>
              <w:right w:val="nil"/>
            </w:tcBorders>
            <w:shd w:val="clear" w:color="auto" w:fill="auto"/>
            <w:vAlign w:val="center"/>
          </w:tcPr>
          <w:p w14:paraId="12AEBF5A" w14:textId="1C4E090D" w:rsidR="00AB0C73" w:rsidRPr="00D613A6" w:rsidRDefault="00E809A0" w:rsidP="00AB0C73">
            <w:pPr>
              <w:pStyle w:val="Pamatteksts1"/>
              <w:spacing w:before="40" w:after="40"/>
              <w:ind w:firstLine="0"/>
              <w:jc w:val="right"/>
              <w:rPr>
                <w:bCs/>
                <w:color w:val="17365D"/>
                <w:sz w:val="20"/>
                <w:szCs w:val="20"/>
              </w:rPr>
            </w:pPr>
            <w:r w:rsidRPr="00D613A6">
              <w:rPr>
                <w:bCs/>
                <w:color w:val="17365D"/>
                <w:sz w:val="20"/>
                <w:szCs w:val="20"/>
              </w:rPr>
              <w:t>103.83</w:t>
            </w:r>
          </w:p>
        </w:tc>
      </w:tr>
      <w:tr w:rsidR="00D613A6" w:rsidRPr="00D613A6" w14:paraId="11EB848F" w14:textId="77777777" w:rsidTr="000A5BFC">
        <w:trPr>
          <w:cantSplit/>
        </w:trPr>
        <w:tc>
          <w:tcPr>
            <w:tcW w:w="901" w:type="dxa"/>
            <w:tcBorders>
              <w:top w:val="nil"/>
              <w:left w:val="nil"/>
              <w:bottom w:val="nil"/>
              <w:right w:val="nil"/>
            </w:tcBorders>
            <w:shd w:val="clear" w:color="auto" w:fill="B9CDE5"/>
            <w:vAlign w:val="center"/>
          </w:tcPr>
          <w:p w14:paraId="2D4103D2" w14:textId="77777777" w:rsidR="007D4D91" w:rsidRPr="00D613A6" w:rsidRDefault="007D4D91" w:rsidP="00AB391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323C6921" w14:textId="77777777" w:rsidR="007D4D91" w:rsidRPr="00D613A6" w:rsidRDefault="007D4D91" w:rsidP="00AB3911">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5299E8A9" w14:textId="77777777" w:rsidR="007D4D91" w:rsidRPr="00D613A6" w:rsidRDefault="007D4D91" w:rsidP="00AB3911">
            <w:pPr>
              <w:pStyle w:val="Pamatteksts1"/>
              <w:spacing w:before="40" w:after="40"/>
              <w:ind w:firstLine="0"/>
              <w:jc w:val="right"/>
              <w:rPr>
                <w:color w:val="17365D"/>
                <w:sz w:val="20"/>
                <w:szCs w:val="20"/>
              </w:rPr>
            </w:pPr>
          </w:p>
        </w:tc>
        <w:tc>
          <w:tcPr>
            <w:tcW w:w="1486" w:type="dxa"/>
            <w:tcBorders>
              <w:top w:val="nil"/>
              <w:left w:val="nil"/>
              <w:bottom w:val="nil"/>
              <w:right w:val="nil"/>
            </w:tcBorders>
            <w:shd w:val="clear" w:color="auto" w:fill="B9CDE5"/>
            <w:vAlign w:val="center"/>
          </w:tcPr>
          <w:p w14:paraId="757F74C8" w14:textId="77777777" w:rsidR="007D4D91" w:rsidRPr="00D613A6" w:rsidRDefault="007D4D91" w:rsidP="00AB3911">
            <w:pPr>
              <w:pStyle w:val="Pamatteksts1"/>
              <w:spacing w:before="40" w:after="40"/>
              <w:ind w:firstLine="0"/>
              <w:jc w:val="right"/>
              <w:rPr>
                <w:color w:val="17365D"/>
                <w:sz w:val="20"/>
                <w:szCs w:val="20"/>
              </w:rPr>
            </w:pPr>
          </w:p>
        </w:tc>
        <w:tc>
          <w:tcPr>
            <w:tcW w:w="1623" w:type="dxa"/>
            <w:tcBorders>
              <w:top w:val="nil"/>
              <w:left w:val="nil"/>
              <w:bottom w:val="nil"/>
              <w:right w:val="nil"/>
            </w:tcBorders>
            <w:shd w:val="clear" w:color="auto" w:fill="B9CDE5"/>
            <w:vAlign w:val="center"/>
          </w:tcPr>
          <w:p w14:paraId="35B0113F" w14:textId="77777777" w:rsidR="007D4D91" w:rsidRPr="00D613A6" w:rsidRDefault="007D4D91" w:rsidP="008B07ED">
            <w:pPr>
              <w:pStyle w:val="Pamatteksts1"/>
              <w:spacing w:before="40" w:after="40"/>
              <w:ind w:firstLine="0"/>
              <w:jc w:val="right"/>
              <w:rPr>
                <w:color w:val="17365D"/>
                <w:sz w:val="20"/>
                <w:szCs w:val="20"/>
              </w:rPr>
            </w:pPr>
          </w:p>
        </w:tc>
        <w:tc>
          <w:tcPr>
            <w:tcW w:w="1434" w:type="dxa"/>
            <w:tcBorders>
              <w:top w:val="nil"/>
              <w:left w:val="nil"/>
              <w:bottom w:val="nil"/>
              <w:right w:val="nil"/>
            </w:tcBorders>
            <w:shd w:val="clear" w:color="auto" w:fill="B9CDE5"/>
            <w:vAlign w:val="center"/>
          </w:tcPr>
          <w:p w14:paraId="3E9269A4" w14:textId="77777777" w:rsidR="007D4D91" w:rsidRPr="00D613A6" w:rsidRDefault="007D4D91" w:rsidP="00AB3911">
            <w:pPr>
              <w:pStyle w:val="Pamatteksts1"/>
              <w:spacing w:before="40" w:after="40"/>
              <w:ind w:firstLine="0"/>
              <w:jc w:val="right"/>
              <w:rPr>
                <w:color w:val="17365D"/>
                <w:sz w:val="20"/>
                <w:szCs w:val="20"/>
              </w:rPr>
            </w:pPr>
          </w:p>
        </w:tc>
      </w:tr>
    </w:tbl>
    <w:p w14:paraId="015D5E4C" w14:textId="61780C7E" w:rsidR="00D7615D" w:rsidRPr="00D613A6" w:rsidRDefault="00D7615D" w:rsidP="00D7615D">
      <w:pPr>
        <w:pStyle w:val="Heading1"/>
        <w:rPr>
          <w:rFonts w:cs="Times New Roman"/>
          <w:noProof w:val="0"/>
          <w:color w:val="17365D"/>
        </w:rPr>
      </w:pPr>
      <w:r w:rsidRPr="00D613A6">
        <w:rPr>
          <w:rFonts w:cs="Times New Roman"/>
          <w:noProof w:val="0"/>
          <w:color w:val="17365D"/>
        </w:rPr>
        <w:t xml:space="preserve">Valsts pamatbudžeta </w:t>
      </w:r>
      <w:r w:rsidR="00F11365" w:rsidRPr="00D613A6">
        <w:rPr>
          <w:rFonts w:cs="Times New Roman"/>
          <w:noProof w:val="0"/>
          <w:color w:val="17365D"/>
        </w:rPr>
        <w:t>programmu un apakšprogram</w:t>
      </w:r>
      <w:r w:rsidR="00B36A61" w:rsidRPr="00D613A6">
        <w:rPr>
          <w:rFonts w:cs="Times New Roman"/>
          <w:noProof w:val="0"/>
          <w:color w:val="17365D"/>
        </w:rPr>
        <w:t>m</w:t>
      </w:r>
      <w:r w:rsidR="00F11365" w:rsidRPr="00D613A6">
        <w:rPr>
          <w:rFonts w:cs="Times New Roman"/>
          <w:noProof w:val="0"/>
          <w:color w:val="17365D"/>
        </w:rPr>
        <w:t xml:space="preserve">u </w:t>
      </w:r>
      <w:r w:rsidRPr="00D613A6">
        <w:rPr>
          <w:rFonts w:cs="Times New Roman"/>
          <w:noProof w:val="0"/>
          <w:color w:val="17365D"/>
        </w:rPr>
        <w:t xml:space="preserve">izpilde </w:t>
      </w:r>
      <w:r w:rsidR="008B7096" w:rsidRPr="00D613A6">
        <w:rPr>
          <w:rFonts w:cs="Times New Roman"/>
          <w:noProof w:val="0"/>
          <w:color w:val="17365D"/>
        </w:rPr>
        <w:t>2024</w:t>
      </w:r>
      <w:r w:rsidRPr="00D613A6">
        <w:rPr>
          <w:rFonts w:cs="Times New Roman"/>
          <w:noProof w:val="0"/>
          <w:color w:val="17365D"/>
        </w:rPr>
        <w:t>. gadā</w:t>
      </w:r>
    </w:p>
    <w:p w14:paraId="75F7445A" w14:textId="5F1C5B2F" w:rsidR="00D7615D" w:rsidRPr="00D613A6" w:rsidRDefault="00D7615D" w:rsidP="00D7615D">
      <w:pPr>
        <w:pStyle w:val="Pamatteksts1"/>
        <w:rPr>
          <w:noProof w:val="0"/>
          <w:color w:val="17365D"/>
        </w:rPr>
      </w:pPr>
      <w:r w:rsidRPr="00D613A6">
        <w:rPr>
          <w:noProof w:val="0"/>
          <w:color w:val="17365D"/>
        </w:rPr>
        <w:t xml:space="preserve">Ministrijas un citas centrālās valsts iestādes noteiktās apropriācijas ietvaros nodrošina valsts pamatbudžeta līdzekļu efektīvu un </w:t>
      </w:r>
      <w:r w:rsidR="00412051" w:rsidRPr="00D613A6">
        <w:rPr>
          <w:noProof w:val="0"/>
          <w:color w:val="17365D"/>
        </w:rPr>
        <w:t>r</w:t>
      </w:r>
      <w:r w:rsidRPr="00D613A6">
        <w:rPr>
          <w:noProof w:val="0"/>
          <w:color w:val="17365D"/>
        </w:rPr>
        <w:t xml:space="preserve">acionālu izlietojumu atbilstoši Likumam, lai nodrošinātu attiecīgo valsts funkciju izpildi. Detalizēta informācija skatāma </w:t>
      </w:r>
      <w:r w:rsidR="008B7096" w:rsidRPr="00D613A6">
        <w:rPr>
          <w:noProof w:val="0"/>
          <w:color w:val="17365D"/>
        </w:rPr>
        <w:t>2024</w:t>
      </w:r>
      <w:r w:rsidRPr="00D613A6">
        <w:rPr>
          <w:noProof w:val="0"/>
          <w:color w:val="17365D"/>
        </w:rPr>
        <w:t xml:space="preserve">. gada pārskata </w:t>
      </w:r>
      <w:r w:rsidR="000321C6" w:rsidRPr="00D613A6">
        <w:rPr>
          <w:noProof w:val="0"/>
          <w:color w:val="17365D"/>
        </w:rPr>
        <w:t>10.</w:t>
      </w:r>
      <w:r w:rsidR="006E1085" w:rsidRPr="00D613A6">
        <w:rPr>
          <w:noProof w:val="0"/>
          <w:color w:val="17365D"/>
        </w:rPr>
        <w:t xml:space="preserve"> </w:t>
      </w:r>
      <w:r w:rsidR="000321C6" w:rsidRPr="00D613A6">
        <w:rPr>
          <w:noProof w:val="0"/>
          <w:color w:val="17365D"/>
        </w:rPr>
        <w:t>tabula</w:t>
      </w:r>
      <w:r w:rsidRPr="00D613A6">
        <w:rPr>
          <w:noProof w:val="0"/>
          <w:color w:val="17365D"/>
        </w:rPr>
        <w:t xml:space="preserve"> “Likuma par valsts budžetu 4.</w:t>
      </w:r>
      <w:r w:rsidR="006E1085" w:rsidRPr="00D613A6">
        <w:rPr>
          <w:noProof w:val="0"/>
          <w:color w:val="17365D"/>
        </w:rPr>
        <w:t xml:space="preserve"> </w:t>
      </w:r>
      <w:r w:rsidRPr="00D613A6">
        <w:rPr>
          <w:noProof w:val="0"/>
          <w:color w:val="17365D"/>
        </w:rPr>
        <w:t>pielikuma “Valsts pamatbudžeta ieņēmumi un izdevumi pa programmām un apakšprogrammām” izpilde”.</w:t>
      </w:r>
    </w:p>
    <w:p w14:paraId="62E70DE4" w14:textId="2552DB7C" w:rsidR="00AB4BEE" w:rsidRPr="00D613A6" w:rsidRDefault="00B5608B" w:rsidP="00AB4BEE">
      <w:pPr>
        <w:pStyle w:val="Pamatteksts1"/>
        <w:rPr>
          <w:noProof w:val="0"/>
          <w:color w:val="17365D"/>
        </w:rPr>
      </w:pPr>
      <w:r w:rsidRPr="00D613A6">
        <w:rPr>
          <w:noProof w:val="0"/>
          <w:color w:val="17365D"/>
        </w:rPr>
        <w:t>Valsts pamatbudžeta</w:t>
      </w:r>
      <w:r w:rsidR="0090666E" w:rsidRPr="00D613A6">
        <w:rPr>
          <w:noProof w:val="0"/>
          <w:color w:val="17365D"/>
        </w:rPr>
        <w:t xml:space="preserve"> programmu</w:t>
      </w:r>
      <w:r w:rsidR="008B7096" w:rsidRPr="00D613A6">
        <w:rPr>
          <w:noProof w:val="0"/>
          <w:color w:val="17365D"/>
        </w:rPr>
        <w:t xml:space="preserve"> ieņēmumi 2024</w:t>
      </w:r>
      <w:r w:rsidRPr="00D613A6">
        <w:rPr>
          <w:noProof w:val="0"/>
          <w:color w:val="17365D"/>
        </w:rPr>
        <w:t>.</w:t>
      </w:r>
      <w:r w:rsidR="00DB3C8C" w:rsidRPr="00D613A6">
        <w:rPr>
          <w:noProof w:val="0"/>
          <w:color w:val="17365D"/>
        </w:rPr>
        <w:t> </w:t>
      </w:r>
      <w:r w:rsidR="008B7096" w:rsidRPr="00D613A6">
        <w:rPr>
          <w:noProof w:val="0"/>
          <w:color w:val="17365D"/>
        </w:rPr>
        <w:t>gadā ir 10</w:t>
      </w:r>
      <w:r w:rsidRPr="00D613A6">
        <w:rPr>
          <w:noProof w:val="0"/>
          <w:color w:val="17365D"/>
        </w:rPr>
        <w:t> </w:t>
      </w:r>
      <w:r w:rsidR="008B7096" w:rsidRPr="00D613A6">
        <w:rPr>
          <w:noProof w:val="0"/>
          <w:color w:val="17365D"/>
        </w:rPr>
        <w:t>031</w:t>
      </w:r>
      <w:r w:rsidRPr="00D613A6">
        <w:rPr>
          <w:noProof w:val="0"/>
          <w:color w:val="17365D"/>
        </w:rPr>
        <w:t>,</w:t>
      </w:r>
      <w:r w:rsidR="008B7096" w:rsidRPr="00D613A6">
        <w:rPr>
          <w:noProof w:val="0"/>
          <w:color w:val="17365D"/>
        </w:rPr>
        <w:t>2</w:t>
      </w:r>
      <w:r w:rsidRPr="00D613A6">
        <w:rPr>
          <w:noProof w:val="0"/>
          <w:color w:val="17365D"/>
        </w:rPr>
        <w:t xml:space="preserve"> milj. </w:t>
      </w:r>
      <w:r w:rsidRPr="00D613A6">
        <w:rPr>
          <w:i/>
          <w:noProof w:val="0"/>
          <w:color w:val="17365D"/>
        </w:rPr>
        <w:t>euro</w:t>
      </w:r>
      <w:r w:rsidRPr="00D613A6">
        <w:rPr>
          <w:noProof w:val="0"/>
          <w:color w:val="17365D"/>
        </w:rPr>
        <w:t xml:space="preserve"> vē</w:t>
      </w:r>
      <w:r w:rsidR="008B7096" w:rsidRPr="00D613A6">
        <w:rPr>
          <w:noProof w:val="0"/>
          <w:color w:val="17365D"/>
        </w:rPr>
        <w:t>rtībā, kas salīdzinājumā ar 2023</w:t>
      </w:r>
      <w:r w:rsidRPr="00D613A6">
        <w:rPr>
          <w:noProof w:val="0"/>
          <w:color w:val="17365D"/>
        </w:rPr>
        <w:t xml:space="preserve">. gadu ir par </w:t>
      </w:r>
      <w:r w:rsidR="008B7096" w:rsidRPr="00D613A6">
        <w:rPr>
          <w:noProof w:val="0"/>
          <w:color w:val="17365D"/>
        </w:rPr>
        <w:t>901</w:t>
      </w:r>
      <w:r w:rsidRPr="00D613A6">
        <w:rPr>
          <w:noProof w:val="0"/>
          <w:color w:val="17365D"/>
        </w:rPr>
        <w:t xml:space="preserve">,8 milj. </w:t>
      </w:r>
      <w:r w:rsidRPr="00D613A6">
        <w:rPr>
          <w:i/>
          <w:noProof w:val="0"/>
          <w:color w:val="17365D"/>
        </w:rPr>
        <w:t>euro</w:t>
      </w:r>
      <w:r w:rsidR="008B7096" w:rsidRPr="00D613A6">
        <w:rPr>
          <w:noProof w:val="0"/>
          <w:color w:val="17365D"/>
        </w:rPr>
        <w:t xml:space="preserve"> jeb 9,</w:t>
      </w:r>
      <w:r w:rsidR="00763AE4" w:rsidRPr="00D613A6">
        <w:rPr>
          <w:noProof w:val="0"/>
          <w:color w:val="17365D"/>
        </w:rPr>
        <w:t>88</w:t>
      </w:r>
      <w:r w:rsidRPr="00D613A6">
        <w:rPr>
          <w:noProof w:val="0"/>
          <w:color w:val="17365D"/>
        </w:rPr>
        <w:t> % vairāk</w:t>
      </w:r>
      <w:r w:rsidR="008B7096" w:rsidRPr="00D613A6">
        <w:rPr>
          <w:noProof w:val="0"/>
          <w:color w:val="17365D"/>
        </w:rPr>
        <w:t>, savukārt izdevumi veidoja 11</w:t>
      </w:r>
      <w:r w:rsidR="00DB3C8C" w:rsidRPr="00D613A6">
        <w:rPr>
          <w:noProof w:val="0"/>
          <w:color w:val="17365D"/>
        </w:rPr>
        <w:t> </w:t>
      </w:r>
      <w:r w:rsidR="00EA39F6" w:rsidRPr="00D613A6">
        <w:rPr>
          <w:noProof w:val="0"/>
          <w:color w:val="17365D"/>
        </w:rPr>
        <w:t>084</w:t>
      </w:r>
      <w:r w:rsidRPr="00D613A6">
        <w:rPr>
          <w:noProof w:val="0"/>
          <w:color w:val="17365D"/>
        </w:rPr>
        <w:t>,</w:t>
      </w:r>
      <w:r w:rsidR="000F3747" w:rsidRPr="00D613A6">
        <w:rPr>
          <w:noProof w:val="0"/>
          <w:color w:val="17365D"/>
        </w:rPr>
        <w:t>8</w:t>
      </w:r>
      <w:r w:rsidRPr="00D613A6">
        <w:rPr>
          <w:noProof w:val="0"/>
          <w:color w:val="17365D"/>
        </w:rPr>
        <w:t xml:space="preserve"> milj. </w:t>
      </w:r>
      <w:r w:rsidRPr="00D613A6">
        <w:rPr>
          <w:i/>
          <w:noProof w:val="0"/>
          <w:color w:val="17365D"/>
        </w:rPr>
        <w:t>euro</w:t>
      </w:r>
      <w:r w:rsidR="000F3747" w:rsidRPr="00D613A6">
        <w:rPr>
          <w:noProof w:val="0"/>
          <w:color w:val="17365D"/>
        </w:rPr>
        <w:t>, kas salīdzinājumā ar 2023</w:t>
      </w:r>
      <w:r w:rsidRPr="00D613A6">
        <w:rPr>
          <w:noProof w:val="0"/>
          <w:color w:val="17365D"/>
        </w:rPr>
        <w:t xml:space="preserve">. gadu ir par </w:t>
      </w:r>
      <w:r w:rsidR="000F3747" w:rsidRPr="00D613A6">
        <w:rPr>
          <w:noProof w:val="0"/>
          <w:color w:val="17365D"/>
        </w:rPr>
        <w:t>51</w:t>
      </w:r>
      <w:r w:rsidR="00763AE4" w:rsidRPr="00D613A6">
        <w:rPr>
          <w:noProof w:val="0"/>
          <w:color w:val="17365D"/>
        </w:rPr>
        <w:t>4</w:t>
      </w:r>
      <w:r w:rsidRPr="00D613A6">
        <w:rPr>
          <w:noProof w:val="0"/>
          <w:color w:val="17365D"/>
        </w:rPr>
        <w:t>,</w:t>
      </w:r>
      <w:r w:rsidR="00763AE4" w:rsidRPr="00D613A6">
        <w:rPr>
          <w:noProof w:val="0"/>
          <w:color w:val="17365D"/>
        </w:rPr>
        <w:t>6</w:t>
      </w:r>
      <w:r w:rsidRPr="00D613A6">
        <w:rPr>
          <w:noProof w:val="0"/>
          <w:color w:val="17365D"/>
        </w:rPr>
        <w:t xml:space="preserve"> milj. </w:t>
      </w:r>
      <w:r w:rsidRPr="00D613A6">
        <w:rPr>
          <w:i/>
          <w:noProof w:val="0"/>
          <w:color w:val="17365D"/>
        </w:rPr>
        <w:t>euro</w:t>
      </w:r>
      <w:r w:rsidR="000F3747" w:rsidRPr="00D613A6">
        <w:rPr>
          <w:noProof w:val="0"/>
          <w:color w:val="17365D"/>
        </w:rPr>
        <w:t xml:space="preserve"> jeb 4,</w:t>
      </w:r>
      <w:r w:rsidR="00763AE4" w:rsidRPr="00D613A6">
        <w:rPr>
          <w:noProof w:val="0"/>
          <w:color w:val="17365D"/>
        </w:rPr>
        <w:t xml:space="preserve">87 </w:t>
      </w:r>
      <w:r w:rsidRPr="00D613A6">
        <w:rPr>
          <w:noProof w:val="0"/>
          <w:color w:val="17365D"/>
        </w:rPr>
        <w:t>% vairāk</w:t>
      </w:r>
      <w:r w:rsidR="001F2ADB" w:rsidRPr="00D613A6">
        <w:rPr>
          <w:noProof w:val="0"/>
          <w:color w:val="17365D"/>
        </w:rPr>
        <w:t>.</w:t>
      </w:r>
      <w:r w:rsidR="0090666E" w:rsidRPr="00D613A6">
        <w:rPr>
          <w:noProof w:val="0"/>
          <w:color w:val="17365D"/>
        </w:rPr>
        <w:t xml:space="preserve"> </w:t>
      </w:r>
      <w:r w:rsidR="00AB4BEE" w:rsidRPr="00D613A6">
        <w:rPr>
          <w:noProof w:val="0"/>
          <w:color w:val="17365D"/>
        </w:rPr>
        <w:t>Valsts pamatbudžeta fi</w:t>
      </w:r>
      <w:r w:rsidR="000F3747" w:rsidRPr="00D613A6">
        <w:rPr>
          <w:noProof w:val="0"/>
          <w:color w:val="17365D"/>
        </w:rPr>
        <w:t>nansiālās bilances deficīts 2024</w:t>
      </w:r>
      <w:r w:rsidR="00AB4BEE" w:rsidRPr="00D613A6">
        <w:rPr>
          <w:noProof w:val="0"/>
          <w:color w:val="17365D"/>
        </w:rPr>
        <w:t>. gadā ir 1 </w:t>
      </w:r>
      <w:r w:rsidR="0034155E" w:rsidRPr="00D613A6">
        <w:rPr>
          <w:noProof w:val="0"/>
          <w:color w:val="17365D"/>
        </w:rPr>
        <w:t>053</w:t>
      </w:r>
      <w:r w:rsidR="000F3747" w:rsidRPr="00D613A6">
        <w:rPr>
          <w:noProof w:val="0"/>
          <w:color w:val="17365D"/>
        </w:rPr>
        <w:t>,6</w:t>
      </w:r>
      <w:r w:rsidR="00AB4BEE" w:rsidRPr="00D613A6">
        <w:rPr>
          <w:noProof w:val="0"/>
          <w:color w:val="17365D"/>
        </w:rPr>
        <w:t> milj. </w:t>
      </w:r>
      <w:r w:rsidR="00AB4BEE" w:rsidRPr="00D613A6">
        <w:rPr>
          <w:i/>
          <w:noProof w:val="0"/>
          <w:color w:val="17365D"/>
        </w:rPr>
        <w:t>euro</w:t>
      </w:r>
      <w:r w:rsidR="000F3747" w:rsidRPr="00D613A6">
        <w:rPr>
          <w:noProof w:val="0"/>
          <w:color w:val="17365D"/>
        </w:rPr>
        <w:t>, bet 2023</w:t>
      </w:r>
      <w:r w:rsidR="00AB4BEE" w:rsidRPr="00D613A6">
        <w:rPr>
          <w:noProof w:val="0"/>
          <w:color w:val="17365D"/>
        </w:rPr>
        <w:t xml:space="preserve">. gadā finansiālās bilances deficīts </w:t>
      </w:r>
      <w:r w:rsidR="00DB3C8C" w:rsidRPr="00D613A6">
        <w:rPr>
          <w:noProof w:val="0"/>
          <w:color w:val="17365D"/>
        </w:rPr>
        <w:t>bija</w:t>
      </w:r>
      <w:r w:rsidR="00AB4BEE" w:rsidRPr="00D613A6">
        <w:rPr>
          <w:noProof w:val="0"/>
          <w:color w:val="17365D"/>
        </w:rPr>
        <w:t xml:space="preserve"> 1</w:t>
      </w:r>
      <w:r w:rsidR="000F3747" w:rsidRPr="00D613A6">
        <w:rPr>
          <w:noProof w:val="0"/>
          <w:color w:val="17365D"/>
        </w:rPr>
        <w:t> </w:t>
      </w:r>
      <w:r w:rsidR="0034155E" w:rsidRPr="00D613A6">
        <w:rPr>
          <w:noProof w:val="0"/>
          <w:color w:val="17365D"/>
        </w:rPr>
        <w:t>440</w:t>
      </w:r>
      <w:r w:rsidR="00AB4BEE" w:rsidRPr="00D613A6">
        <w:rPr>
          <w:noProof w:val="0"/>
          <w:color w:val="17365D"/>
        </w:rPr>
        <w:t>,</w:t>
      </w:r>
      <w:r w:rsidR="0034155E" w:rsidRPr="00D613A6">
        <w:rPr>
          <w:noProof w:val="0"/>
          <w:color w:val="17365D"/>
        </w:rPr>
        <w:t>9</w:t>
      </w:r>
      <w:r w:rsidR="00AB4BEE" w:rsidRPr="00D613A6">
        <w:rPr>
          <w:noProof w:val="0"/>
          <w:color w:val="17365D"/>
        </w:rPr>
        <w:t> milj. </w:t>
      </w:r>
      <w:r w:rsidR="00AB4BEE" w:rsidRPr="00D613A6">
        <w:rPr>
          <w:i/>
          <w:noProof w:val="0"/>
          <w:color w:val="17365D"/>
        </w:rPr>
        <w:t>euro</w:t>
      </w:r>
      <w:r w:rsidR="00AB4BEE" w:rsidRPr="00D613A6">
        <w:rPr>
          <w:noProof w:val="0"/>
          <w:color w:val="17365D"/>
        </w:rPr>
        <w:t xml:space="preserve"> apmērā. Finansiālās bilances deficīts salīdzinot ar iepriekšēj</w:t>
      </w:r>
      <w:r w:rsidR="005761AC" w:rsidRPr="00D613A6">
        <w:rPr>
          <w:noProof w:val="0"/>
          <w:color w:val="17365D"/>
        </w:rPr>
        <w:t xml:space="preserve">o gadu ir samazinājies par </w:t>
      </w:r>
      <w:r w:rsidR="000F3747" w:rsidRPr="00D613A6">
        <w:rPr>
          <w:noProof w:val="0"/>
          <w:color w:val="17365D"/>
        </w:rPr>
        <w:t>3</w:t>
      </w:r>
      <w:r w:rsidR="00C47CED" w:rsidRPr="00D613A6">
        <w:rPr>
          <w:noProof w:val="0"/>
          <w:color w:val="17365D"/>
        </w:rPr>
        <w:t>87</w:t>
      </w:r>
      <w:r w:rsidR="000F3747" w:rsidRPr="00D613A6">
        <w:rPr>
          <w:noProof w:val="0"/>
          <w:color w:val="17365D"/>
        </w:rPr>
        <w:t>,</w:t>
      </w:r>
      <w:r w:rsidR="00C47CED" w:rsidRPr="00D613A6">
        <w:rPr>
          <w:noProof w:val="0"/>
          <w:color w:val="17365D"/>
        </w:rPr>
        <w:t>2</w:t>
      </w:r>
      <w:r w:rsidR="00AB4BEE" w:rsidRPr="00D613A6">
        <w:rPr>
          <w:noProof w:val="0"/>
          <w:color w:val="17365D"/>
        </w:rPr>
        <w:t> milj. </w:t>
      </w:r>
      <w:r w:rsidR="00AB4BEE" w:rsidRPr="00D613A6">
        <w:rPr>
          <w:i/>
          <w:noProof w:val="0"/>
          <w:color w:val="17365D"/>
        </w:rPr>
        <w:t>euro</w:t>
      </w:r>
      <w:r w:rsidR="0090666E" w:rsidRPr="00D613A6">
        <w:rPr>
          <w:i/>
          <w:noProof w:val="0"/>
          <w:color w:val="17365D"/>
        </w:rPr>
        <w:t xml:space="preserve"> </w:t>
      </w:r>
      <w:r w:rsidR="0090666E" w:rsidRPr="00D613A6">
        <w:rPr>
          <w:noProof w:val="0"/>
          <w:color w:val="17365D"/>
        </w:rPr>
        <w:t>(skatīt 6</w:t>
      </w:r>
      <w:r w:rsidR="0034155E" w:rsidRPr="00D613A6">
        <w:rPr>
          <w:noProof w:val="0"/>
          <w:color w:val="17365D"/>
        </w:rPr>
        <w:t>.4. un 6.5</w:t>
      </w:r>
      <w:r w:rsidR="0090666E" w:rsidRPr="00D613A6">
        <w:rPr>
          <w:noProof w:val="0"/>
          <w:color w:val="17365D"/>
        </w:rPr>
        <w:t>. tabulu)</w:t>
      </w:r>
      <w:r w:rsidR="001F2ADB" w:rsidRPr="00D613A6">
        <w:rPr>
          <w:noProof w:val="0"/>
          <w:color w:val="17365D"/>
        </w:rPr>
        <w:t>.</w:t>
      </w:r>
    </w:p>
    <w:p w14:paraId="3ECB0A29" w14:textId="77777777" w:rsidR="004231F0" w:rsidRPr="00D613A6" w:rsidRDefault="00D7615D" w:rsidP="004231F0">
      <w:pPr>
        <w:rPr>
          <w:color w:val="17365D"/>
        </w:rPr>
      </w:pPr>
      <w:r w:rsidRPr="00D613A6">
        <w:rPr>
          <w:color w:val="17365D"/>
        </w:rPr>
        <w:t xml:space="preserve">Valsts pamatbudžeta </w:t>
      </w:r>
      <w:r w:rsidR="00F11365" w:rsidRPr="00D613A6">
        <w:rPr>
          <w:color w:val="17365D"/>
        </w:rPr>
        <w:t>programmu un apakšprogram</w:t>
      </w:r>
      <w:r w:rsidR="00B36A61" w:rsidRPr="00D613A6">
        <w:rPr>
          <w:color w:val="17365D"/>
        </w:rPr>
        <w:t>m</w:t>
      </w:r>
      <w:r w:rsidR="00F11365" w:rsidRPr="00D613A6">
        <w:rPr>
          <w:color w:val="17365D"/>
        </w:rPr>
        <w:t xml:space="preserve">u </w:t>
      </w:r>
      <w:r w:rsidRPr="00D613A6">
        <w:rPr>
          <w:color w:val="17365D"/>
        </w:rPr>
        <w:t>ieņēmum</w:t>
      </w:r>
      <w:r w:rsidR="00D27EF9" w:rsidRPr="00D613A6">
        <w:rPr>
          <w:color w:val="17365D"/>
        </w:rPr>
        <w:t>u</w:t>
      </w:r>
      <w:r w:rsidRPr="00D613A6">
        <w:rPr>
          <w:color w:val="17365D"/>
        </w:rPr>
        <w:t xml:space="preserve"> </w:t>
      </w:r>
      <w:r w:rsidR="005123EA" w:rsidRPr="00D613A6">
        <w:rPr>
          <w:color w:val="17365D"/>
        </w:rPr>
        <w:t>pieaugums valsts pamatbudžetā galvenokārt sa</w:t>
      </w:r>
      <w:r w:rsidR="00D27EF9" w:rsidRPr="00D613A6">
        <w:rPr>
          <w:color w:val="17365D"/>
        </w:rPr>
        <w:t>istīts ar dotācijas piešķiršanu, lai segtu izdevumus, kas saistīti ar</w:t>
      </w:r>
      <w:r w:rsidR="004231F0" w:rsidRPr="00D613A6">
        <w:rPr>
          <w:color w:val="17365D"/>
        </w:rPr>
        <w:t>:</w:t>
      </w:r>
    </w:p>
    <w:p w14:paraId="3269AF25" w14:textId="54E48FF4" w:rsidR="004231F0" w:rsidRPr="00D613A6" w:rsidRDefault="004231F0" w:rsidP="00D613A6">
      <w:pPr>
        <w:pStyle w:val="Bullets"/>
        <w:numPr>
          <w:ilvl w:val="0"/>
          <w:numId w:val="7"/>
        </w:numPr>
        <w:ind w:left="993" w:hanging="426"/>
        <w:rPr>
          <w:color w:val="17365D"/>
        </w:rPr>
      </w:pPr>
      <w:r w:rsidRPr="00D613A6">
        <w:rPr>
          <w:color w:val="17365D"/>
        </w:rPr>
        <w:t>valsts tiešās pārvaldes iestādēs nodarbināto atalgojuma palielināšanu, galvenokārt Iekšlietu ministrijas, Tieslietu ministrijas</w:t>
      </w:r>
      <w:r w:rsidR="00290660" w:rsidRPr="00D613A6">
        <w:rPr>
          <w:color w:val="17365D"/>
        </w:rPr>
        <w:t>, Aizsardzības</w:t>
      </w:r>
      <w:r w:rsidRPr="00D613A6">
        <w:rPr>
          <w:color w:val="17365D"/>
        </w:rPr>
        <w:t xml:space="preserve"> un Izglītības un zinātnes ministrijas institūcijās nodarbinātajiem;</w:t>
      </w:r>
    </w:p>
    <w:p w14:paraId="5BEA84EB" w14:textId="54E3A369" w:rsidR="004231F0" w:rsidRPr="00D613A6" w:rsidRDefault="0072527B" w:rsidP="00D613A6">
      <w:pPr>
        <w:pStyle w:val="Bullets"/>
        <w:numPr>
          <w:ilvl w:val="0"/>
          <w:numId w:val="7"/>
        </w:numPr>
        <w:ind w:left="993" w:hanging="426"/>
        <w:rPr>
          <w:color w:val="17365D"/>
        </w:rPr>
      </w:pPr>
      <w:r w:rsidRPr="00D613A6">
        <w:rPr>
          <w:color w:val="17365D"/>
        </w:rPr>
        <w:t>v</w:t>
      </w:r>
      <w:r w:rsidR="004231F0" w:rsidRPr="00D613A6">
        <w:rPr>
          <w:color w:val="17365D"/>
        </w:rPr>
        <w:t>i</w:t>
      </w:r>
      <w:r w:rsidR="004C6826" w:rsidRPr="00D613A6">
        <w:rPr>
          <w:color w:val="17365D"/>
        </w:rPr>
        <w:t>enotā pakalpojumu centra izveid</w:t>
      </w:r>
      <w:r w:rsidR="004231F0" w:rsidRPr="00D613A6">
        <w:rPr>
          <w:color w:val="17365D"/>
        </w:rPr>
        <w:t>i;</w:t>
      </w:r>
    </w:p>
    <w:p w14:paraId="4BF94271" w14:textId="4B7E6AD0" w:rsidR="004231F0" w:rsidRPr="00D613A6" w:rsidRDefault="004C6826" w:rsidP="00D613A6">
      <w:pPr>
        <w:pStyle w:val="Bullets"/>
        <w:numPr>
          <w:ilvl w:val="0"/>
          <w:numId w:val="7"/>
        </w:numPr>
        <w:ind w:left="993" w:hanging="426"/>
        <w:rPr>
          <w:color w:val="17365D"/>
        </w:rPr>
      </w:pPr>
      <w:r w:rsidRPr="00D613A6">
        <w:rPr>
          <w:color w:val="17365D"/>
        </w:rPr>
        <w:t>v</w:t>
      </w:r>
      <w:r w:rsidR="004231F0" w:rsidRPr="00D613A6">
        <w:rPr>
          <w:color w:val="17365D"/>
        </w:rPr>
        <w:t>alsts apmaksātu veselības aprūpes pakalpojumu pieejamības paaugstināšan</w:t>
      </w:r>
      <w:r w:rsidRPr="00D613A6">
        <w:rPr>
          <w:color w:val="17365D"/>
        </w:rPr>
        <w:t>u</w:t>
      </w:r>
      <w:r w:rsidR="004231F0" w:rsidRPr="00D613A6">
        <w:rPr>
          <w:color w:val="17365D"/>
        </w:rPr>
        <w:t xml:space="preserve"> Iekšlietu ministrijas sistēmas iestāžu un Ieslodzījuma vietu pārvaldes amatpersonām ar speciālajām dienesta pakāpēm;</w:t>
      </w:r>
    </w:p>
    <w:p w14:paraId="4C85C7BE" w14:textId="12E3BB12" w:rsidR="004231F0" w:rsidRPr="00D613A6" w:rsidRDefault="004231F0" w:rsidP="00D613A6">
      <w:pPr>
        <w:pStyle w:val="Bullets"/>
        <w:numPr>
          <w:ilvl w:val="0"/>
          <w:numId w:val="7"/>
        </w:numPr>
        <w:ind w:left="993" w:hanging="426"/>
        <w:rPr>
          <w:color w:val="17365D"/>
        </w:rPr>
      </w:pPr>
      <w:r w:rsidRPr="00D613A6">
        <w:rPr>
          <w:color w:val="17365D"/>
        </w:rPr>
        <w:t>Latvijas dalības Eiropas Savienībā divdesmitgades atzīmēšanai</w:t>
      </w:r>
      <w:r w:rsidR="00D613A6">
        <w:rPr>
          <w:color w:val="17365D"/>
        </w:rPr>
        <w:t>;</w:t>
      </w:r>
    </w:p>
    <w:p w14:paraId="4173F190" w14:textId="14616FD1" w:rsidR="00862D2D" w:rsidRPr="00D613A6" w:rsidRDefault="004C6826" w:rsidP="00D613A6">
      <w:pPr>
        <w:pStyle w:val="Bullets"/>
        <w:numPr>
          <w:ilvl w:val="0"/>
          <w:numId w:val="7"/>
        </w:numPr>
        <w:ind w:left="993" w:hanging="426"/>
        <w:rPr>
          <w:color w:val="17365D"/>
        </w:rPr>
      </w:pPr>
      <w:r w:rsidRPr="00D613A6">
        <w:rPr>
          <w:color w:val="17365D"/>
        </w:rPr>
        <w:t>d</w:t>
      </w:r>
      <w:r w:rsidR="00C42D14" w:rsidRPr="00D613A6">
        <w:rPr>
          <w:color w:val="17365D"/>
        </w:rPr>
        <w:t>otācija paredzēta arī a</w:t>
      </w:r>
      <w:r w:rsidR="00945AFE" w:rsidRPr="00D613A6">
        <w:rPr>
          <w:color w:val="17365D"/>
        </w:rPr>
        <w:t>tbalsta pasākumi</w:t>
      </w:r>
      <w:r w:rsidR="00C42D14" w:rsidRPr="00D613A6">
        <w:rPr>
          <w:color w:val="17365D"/>
        </w:rPr>
        <w:t>em</w:t>
      </w:r>
      <w:r w:rsidR="00945AFE" w:rsidRPr="00D613A6">
        <w:rPr>
          <w:color w:val="17365D"/>
        </w:rPr>
        <w:t xml:space="preserve"> pašvaldībām dažādu investīciju projektu īstenošanai</w:t>
      </w:r>
      <w:r w:rsidR="00AD5C23" w:rsidRPr="00D613A6">
        <w:rPr>
          <w:color w:val="17365D"/>
        </w:rPr>
        <w:t xml:space="preserve"> un valsts atbalsta pasākum</w:t>
      </w:r>
      <w:r w:rsidR="00C42D14" w:rsidRPr="00D613A6">
        <w:rPr>
          <w:color w:val="17365D"/>
        </w:rPr>
        <w:t>iem</w:t>
      </w:r>
      <w:r w:rsidR="00AD5C23" w:rsidRPr="00D613A6">
        <w:rPr>
          <w:color w:val="17365D"/>
        </w:rPr>
        <w:t xml:space="preserve"> piegādātājiem energoresursu un siltumapgādes pakalpojumu maksas samazinājumam).</w:t>
      </w:r>
    </w:p>
    <w:p w14:paraId="04911F0F" w14:textId="77777777" w:rsidR="0072527B" w:rsidRPr="00D613A6" w:rsidRDefault="0072527B" w:rsidP="0072527B">
      <w:pPr>
        <w:rPr>
          <w:rFonts w:eastAsia="Arial Unicode MS"/>
          <w:i/>
          <w:color w:val="17365D"/>
          <w:sz w:val="20"/>
        </w:rPr>
      </w:pPr>
    </w:p>
    <w:p w14:paraId="7048428A" w14:textId="77777777" w:rsidR="0072527B" w:rsidRPr="00D613A6" w:rsidRDefault="0072527B" w:rsidP="0072527B">
      <w:pPr>
        <w:rPr>
          <w:rFonts w:eastAsia="Arial Unicode MS"/>
          <w:i/>
          <w:color w:val="17365D"/>
          <w:sz w:val="20"/>
        </w:rPr>
      </w:pPr>
    </w:p>
    <w:p w14:paraId="32B45E9D" w14:textId="77777777" w:rsidR="0072527B" w:rsidRPr="00D613A6" w:rsidRDefault="0072527B" w:rsidP="0072527B">
      <w:pPr>
        <w:rPr>
          <w:rFonts w:eastAsia="Arial Unicode MS"/>
          <w:i/>
          <w:color w:val="17365D"/>
          <w:sz w:val="20"/>
        </w:rPr>
      </w:pPr>
    </w:p>
    <w:p w14:paraId="08D482E9" w14:textId="5CE0DE09" w:rsidR="00D7615D" w:rsidRPr="00D613A6" w:rsidRDefault="00505F8A" w:rsidP="00D7615D">
      <w:pPr>
        <w:spacing w:before="160" w:after="0"/>
        <w:ind w:firstLine="0"/>
        <w:jc w:val="right"/>
        <w:rPr>
          <w:rFonts w:eastAsia="Arial Unicode MS"/>
          <w:i/>
          <w:color w:val="17365D"/>
          <w:sz w:val="20"/>
        </w:rPr>
      </w:pPr>
      <w:r w:rsidRPr="00D613A6">
        <w:rPr>
          <w:rFonts w:eastAsia="Arial Unicode MS"/>
          <w:i/>
          <w:color w:val="17365D"/>
          <w:sz w:val="20"/>
        </w:rPr>
        <w:lastRenderedPageBreak/>
        <w:t>6.</w:t>
      </w:r>
      <w:r w:rsidR="00DC3A74" w:rsidRPr="00D613A6">
        <w:rPr>
          <w:rFonts w:eastAsia="Arial Unicode MS"/>
          <w:i/>
          <w:color w:val="17365D"/>
          <w:sz w:val="20"/>
        </w:rPr>
        <w:t>4</w:t>
      </w:r>
      <w:r w:rsidR="00D7615D" w:rsidRPr="00D613A6">
        <w:rPr>
          <w:rFonts w:eastAsia="Arial Unicode MS"/>
          <w:i/>
          <w:color w:val="17365D"/>
          <w:sz w:val="20"/>
        </w:rPr>
        <w:t xml:space="preserve">. tabula. </w:t>
      </w:r>
      <w:r w:rsidR="004F1E91" w:rsidRPr="00D613A6">
        <w:rPr>
          <w:rFonts w:eastAsia="Arial Unicode MS"/>
          <w:i/>
          <w:color w:val="17365D"/>
          <w:sz w:val="20"/>
        </w:rPr>
        <w:t xml:space="preserve">Valsts </w:t>
      </w:r>
      <w:r w:rsidR="00D7615D" w:rsidRPr="00D613A6">
        <w:rPr>
          <w:bCs/>
          <w:i/>
          <w:color w:val="17365D"/>
          <w:sz w:val="20"/>
          <w:szCs w:val="20"/>
        </w:rPr>
        <w:t>pamatbudžeta</w:t>
      </w:r>
      <w:r w:rsidR="004F1E91" w:rsidRPr="00D613A6">
        <w:rPr>
          <w:bCs/>
          <w:i/>
          <w:color w:val="17365D"/>
          <w:sz w:val="20"/>
          <w:szCs w:val="20"/>
        </w:rPr>
        <w:t xml:space="preserve"> ieņēmum</w:t>
      </w:r>
      <w:r w:rsidR="00833DED" w:rsidRPr="00D613A6">
        <w:rPr>
          <w:bCs/>
          <w:i/>
          <w:color w:val="17365D"/>
          <w:sz w:val="20"/>
          <w:szCs w:val="20"/>
        </w:rPr>
        <w:t>u izmaiņas</w:t>
      </w:r>
      <w:r w:rsidR="0083385F" w:rsidRPr="00D613A6">
        <w:rPr>
          <w:bCs/>
          <w:i/>
          <w:color w:val="17365D"/>
          <w:sz w:val="20"/>
          <w:szCs w:val="20"/>
        </w:rPr>
        <w:t> </w:t>
      </w:r>
      <w:r w:rsidR="00D7615D" w:rsidRPr="00D613A6">
        <w:rPr>
          <w:bCs/>
          <w:i/>
          <w:color w:val="17365D"/>
          <w:sz w:val="20"/>
          <w:szCs w:val="20"/>
        </w:rPr>
        <w:t>(</w:t>
      </w:r>
      <w:r w:rsidR="00D7615D" w:rsidRPr="00D613A6">
        <w:rPr>
          <w:i/>
          <w:color w:val="17365D"/>
          <w:sz w:val="20"/>
        </w:rPr>
        <w:t>euro)</w:t>
      </w:r>
    </w:p>
    <w:tbl>
      <w:tblPr>
        <w:tblStyle w:val="TableGrid"/>
        <w:tblW w:w="9356" w:type="dxa"/>
        <w:jc w:val="right"/>
        <w:tblLayout w:type="fixed"/>
        <w:tblLook w:val="04A0" w:firstRow="1" w:lastRow="0" w:firstColumn="1" w:lastColumn="0" w:noHBand="0" w:noVBand="1"/>
      </w:tblPr>
      <w:tblGrid>
        <w:gridCol w:w="1028"/>
        <w:gridCol w:w="2435"/>
        <w:gridCol w:w="1508"/>
        <w:gridCol w:w="1481"/>
        <w:gridCol w:w="1541"/>
        <w:gridCol w:w="1363"/>
      </w:tblGrid>
      <w:tr w:rsidR="00D613A6" w:rsidRPr="00D613A6" w14:paraId="09960FDB" w14:textId="741745C0" w:rsidTr="000A5BFC">
        <w:trPr>
          <w:trHeight w:val="284"/>
          <w:jc w:val="right"/>
        </w:trPr>
        <w:tc>
          <w:tcPr>
            <w:tcW w:w="1077" w:type="dxa"/>
            <w:vMerge w:val="restart"/>
            <w:tcBorders>
              <w:top w:val="nil"/>
              <w:left w:val="nil"/>
              <w:bottom w:val="single" w:sz="4" w:space="0" w:color="17365D"/>
              <w:right w:val="nil"/>
            </w:tcBorders>
            <w:shd w:val="clear" w:color="auto" w:fill="B9CDE5"/>
            <w:vAlign w:val="center"/>
          </w:tcPr>
          <w:p w14:paraId="052F983E" w14:textId="63BCCA70"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Klasifi</w:t>
            </w:r>
            <w:r w:rsidR="00A01198" w:rsidRPr="00D613A6">
              <w:rPr>
                <w:b/>
                <w:color w:val="17365D"/>
                <w:sz w:val="20"/>
                <w:szCs w:val="20"/>
              </w:rPr>
              <w:t>-</w:t>
            </w:r>
            <w:r w:rsidRPr="00D613A6">
              <w:rPr>
                <w:b/>
                <w:color w:val="17365D"/>
                <w:sz w:val="20"/>
                <w:szCs w:val="20"/>
              </w:rPr>
              <w:t>kācijas kods</w:t>
            </w:r>
          </w:p>
        </w:tc>
        <w:tc>
          <w:tcPr>
            <w:tcW w:w="2573" w:type="dxa"/>
            <w:vMerge w:val="restart"/>
            <w:tcBorders>
              <w:top w:val="nil"/>
              <w:left w:val="nil"/>
              <w:bottom w:val="single" w:sz="4" w:space="0" w:color="17365D"/>
              <w:right w:val="nil"/>
            </w:tcBorders>
            <w:shd w:val="clear" w:color="auto" w:fill="B9CDE5"/>
            <w:vAlign w:val="center"/>
          </w:tcPr>
          <w:p w14:paraId="0DF03939" w14:textId="4C093F95"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1588" w:type="dxa"/>
            <w:gridSpan w:val="2"/>
            <w:tcBorders>
              <w:top w:val="nil"/>
              <w:left w:val="nil"/>
              <w:bottom w:val="single" w:sz="4" w:space="0" w:color="17365D"/>
              <w:right w:val="nil"/>
            </w:tcBorders>
            <w:shd w:val="clear" w:color="auto" w:fill="B9CDE5"/>
            <w:vAlign w:val="center"/>
          </w:tcPr>
          <w:p w14:paraId="18E10F5B" w14:textId="7A6D547C"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0829FC43" w14:textId="57672547" w:rsidR="00697F22"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7B208E1E" w14:textId="560C48F2" w:rsidR="0083385F"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w:t>
            </w:r>
            <w:r w:rsidR="000278EF" w:rsidRPr="00D613A6">
              <w:rPr>
                <w:b/>
                <w:color w:val="17365D"/>
                <w:sz w:val="20"/>
                <w:szCs w:val="20"/>
              </w:rPr>
              <w:t>1</w:t>
            </w:r>
            <w:r w:rsidR="00E65C60" w:rsidRPr="00D613A6">
              <w:rPr>
                <w:b/>
                <w:color w:val="17365D"/>
                <w:sz w:val="20"/>
                <w:szCs w:val="20"/>
              </w:rPr>
              <w:t>.</w:t>
            </w:r>
            <w:r w:rsidRPr="00D613A6">
              <w:rPr>
                <w:b/>
                <w:color w:val="17365D"/>
                <w:sz w:val="20"/>
                <w:szCs w:val="20"/>
              </w:rPr>
              <w:t xml:space="preserve">– </w:t>
            </w:r>
            <w:r w:rsidR="000278EF" w:rsidRPr="00D613A6">
              <w:rPr>
                <w:b/>
                <w:color w:val="17365D"/>
                <w:sz w:val="20"/>
                <w:szCs w:val="20"/>
              </w:rPr>
              <w:t>2</w:t>
            </w:r>
            <w:r w:rsidR="00E65C60" w:rsidRPr="00D613A6">
              <w:rPr>
                <w:b/>
                <w:color w:val="17365D"/>
                <w:sz w:val="20"/>
                <w:szCs w:val="20"/>
              </w:rPr>
              <w:t>.</w:t>
            </w:r>
            <w:r w:rsidRPr="00D613A6">
              <w:rPr>
                <w:b/>
                <w:color w:val="17365D"/>
                <w:sz w:val="20"/>
                <w:szCs w:val="20"/>
              </w:rPr>
              <w:t>)</w:t>
            </w:r>
          </w:p>
        </w:tc>
        <w:tc>
          <w:tcPr>
            <w:tcW w:w="1434" w:type="dxa"/>
            <w:vMerge w:val="restart"/>
            <w:tcBorders>
              <w:top w:val="nil"/>
              <w:left w:val="nil"/>
              <w:bottom w:val="single" w:sz="4" w:space="0" w:color="17365D"/>
              <w:right w:val="nil"/>
            </w:tcBorders>
            <w:shd w:val="clear" w:color="auto" w:fill="B9CDE5"/>
            <w:vAlign w:val="center"/>
          </w:tcPr>
          <w:p w14:paraId="6714A798" w14:textId="2CB2F43B"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3BDBDF45" w14:textId="09832E36" w:rsidR="0083385F" w:rsidRPr="00D613A6" w:rsidRDefault="0083385F" w:rsidP="00F000A6">
            <w:pPr>
              <w:pStyle w:val="Pamatteksts1"/>
              <w:spacing w:before="60" w:afterLines="30" w:after="72"/>
              <w:ind w:firstLine="0"/>
              <w:jc w:val="center"/>
              <w:rPr>
                <w:b/>
                <w:color w:val="17365D"/>
                <w:sz w:val="20"/>
                <w:szCs w:val="20"/>
              </w:rPr>
            </w:pPr>
            <w:r w:rsidRPr="00D613A6">
              <w:rPr>
                <w:b/>
                <w:color w:val="17365D"/>
                <w:sz w:val="20"/>
                <w:szCs w:val="20"/>
              </w:rPr>
              <w:t>(</w:t>
            </w:r>
            <w:r w:rsidR="00F000A6" w:rsidRPr="00D613A6">
              <w:rPr>
                <w:b/>
                <w:color w:val="17365D"/>
                <w:sz w:val="20"/>
                <w:szCs w:val="20"/>
              </w:rPr>
              <w:t>3</w:t>
            </w:r>
            <w:r w:rsidR="00E65C60" w:rsidRPr="00D613A6">
              <w:rPr>
                <w:b/>
                <w:color w:val="17365D"/>
                <w:sz w:val="20"/>
                <w:szCs w:val="20"/>
              </w:rPr>
              <w:t>.</w:t>
            </w:r>
            <w:r w:rsidRPr="00D613A6">
              <w:rPr>
                <w:b/>
                <w:color w:val="17365D"/>
                <w:sz w:val="20"/>
                <w:szCs w:val="20"/>
              </w:rPr>
              <w:t>/</w:t>
            </w:r>
            <w:r w:rsidR="000278EF"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76451F06" w14:textId="6AC41E7D" w:rsidTr="000A5BFC">
        <w:trPr>
          <w:trHeight w:val="284"/>
          <w:jc w:val="right"/>
        </w:trPr>
        <w:tc>
          <w:tcPr>
            <w:tcW w:w="1077" w:type="dxa"/>
            <w:vMerge/>
            <w:tcBorders>
              <w:top w:val="single" w:sz="4" w:space="0" w:color="17365D"/>
              <w:left w:val="nil"/>
              <w:bottom w:val="nil"/>
              <w:right w:val="nil"/>
            </w:tcBorders>
            <w:shd w:val="clear" w:color="auto" w:fill="auto"/>
            <w:vAlign w:val="center"/>
          </w:tcPr>
          <w:p w14:paraId="5CEAFEC7" w14:textId="77777777" w:rsidR="0083385F" w:rsidRPr="00D613A6" w:rsidRDefault="0083385F" w:rsidP="00DD63DD">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3E3CF74D" w14:textId="77777777" w:rsidR="0083385F" w:rsidRPr="00D613A6" w:rsidRDefault="0083385F" w:rsidP="00DD63DD">
            <w:pPr>
              <w:pStyle w:val="Pamatteksts1"/>
              <w:spacing w:before="60" w:afterLines="30" w:after="72"/>
              <w:ind w:firstLine="0"/>
              <w:jc w:val="center"/>
              <w:rPr>
                <w:color w:val="17365D"/>
                <w:sz w:val="20"/>
                <w:szCs w:val="20"/>
              </w:rPr>
            </w:pPr>
          </w:p>
        </w:tc>
        <w:tc>
          <w:tcPr>
            <w:tcW w:w="1588" w:type="dxa"/>
            <w:tcBorders>
              <w:top w:val="single" w:sz="4" w:space="0" w:color="17365D"/>
              <w:left w:val="nil"/>
              <w:bottom w:val="nil"/>
              <w:right w:val="nil"/>
            </w:tcBorders>
            <w:shd w:val="clear" w:color="auto" w:fill="B9CDE5"/>
            <w:vAlign w:val="center"/>
          </w:tcPr>
          <w:p w14:paraId="04BC62C0" w14:textId="29ABCA08" w:rsidR="0083385F" w:rsidRPr="00D613A6" w:rsidRDefault="0083385F" w:rsidP="00DD63DD">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42744DF2" w14:textId="2ECA3386" w:rsidR="0083385F" w:rsidRPr="00D613A6" w:rsidRDefault="0083385F" w:rsidP="00DD63DD">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2DBA3A14" w14:textId="77777777" w:rsidR="0083385F" w:rsidRPr="00D613A6" w:rsidRDefault="0083385F" w:rsidP="00A36FCF">
            <w:pPr>
              <w:pStyle w:val="Pamatteksts1"/>
              <w:spacing w:before="60" w:after="60"/>
              <w:ind w:left="-104" w:right="-112" w:firstLine="0"/>
              <w:jc w:val="center"/>
              <w:rPr>
                <w:b/>
                <w:color w:val="17365D"/>
                <w:sz w:val="20"/>
                <w:szCs w:val="20"/>
              </w:rPr>
            </w:pPr>
          </w:p>
        </w:tc>
        <w:tc>
          <w:tcPr>
            <w:tcW w:w="1434" w:type="dxa"/>
            <w:vMerge/>
            <w:tcBorders>
              <w:top w:val="single" w:sz="4" w:space="0" w:color="17365D"/>
              <w:left w:val="nil"/>
              <w:bottom w:val="nil"/>
              <w:right w:val="nil"/>
            </w:tcBorders>
            <w:shd w:val="clear" w:color="auto" w:fill="auto"/>
            <w:vAlign w:val="center"/>
          </w:tcPr>
          <w:p w14:paraId="00D29B66" w14:textId="77777777" w:rsidR="0083385F" w:rsidRPr="00D613A6" w:rsidRDefault="0083385F" w:rsidP="00DD63DD">
            <w:pPr>
              <w:spacing w:before="60" w:afterLines="30" w:after="72"/>
              <w:ind w:firstLine="0"/>
              <w:jc w:val="center"/>
              <w:rPr>
                <w:color w:val="17365D"/>
                <w:sz w:val="20"/>
                <w:szCs w:val="20"/>
              </w:rPr>
            </w:pPr>
          </w:p>
        </w:tc>
      </w:tr>
      <w:tr w:rsidR="00D613A6" w:rsidRPr="00D613A6" w14:paraId="223251B2" w14:textId="124F63EA" w:rsidTr="000A5BFC">
        <w:trPr>
          <w:jc w:val="right"/>
        </w:trPr>
        <w:tc>
          <w:tcPr>
            <w:tcW w:w="1077" w:type="dxa"/>
            <w:tcBorders>
              <w:top w:val="nil"/>
              <w:left w:val="nil"/>
              <w:bottom w:val="single" w:sz="4" w:space="0" w:color="17365D"/>
              <w:right w:val="nil"/>
            </w:tcBorders>
            <w:shd w:val="clear" w:color="auto" w:fill="auto"/>
            <w:vAlign w:val="center"/>
          </w:tcPr>
          <w:p w14:paraId="54C41839" w14:textId="0317242F"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01E2240B" w14:textId="6B4389C1"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B</w:t>
            </w:r>
          </w:p>
        </w:tc>
        <w:tc>
          <w:tcPr>
            <w:tcW w:w="1588" w:type="dxa"/>
            <w:tcBorders>
              <w:top w:val="nil"/>
              <w:left w:val="nil"/>
              <w:bottom w:val="single" w:sz="4" w:space="0" w:color="17365D"/>
              <w:right w:val="nil"/>
            </w:tcBorders>
            <w:shd w:val="clear" w:color="auto" w:fill="auto"/>
            <w:vAlign w:val="center"/>
          </w:tcPr>
          <w:p w14:paraId="0DEBEC63" w14:textId="30018179"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1C6AF50" w14:textId="02DEC3D2"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02149DF" w14:textId="6DF6B8EF" w:rsidR="0083385F"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3</w:t>
            </w:r>
          </w:p>
        </w:tc>
        <w:tc>
          <w:tcPr>
            <w:tcW w:w="1434" w:type="dxa"/>
            <w:tcBorders>
              <w:top w:val="nil"/>
              <w:left w:val="nil"/>
              <w:bottom w:val="single" w:sz="4" w:space="0" w:color="17365D"/>
              <w:right w:val="nil"/>
            </w:tcBorders>
            <w:shd w:val="clear" w:color="auto" w:fill="auto"/>
            <w:vAlign w:val="center"/>
          </w:tcPr>
          <w:p w14:paraId="0AB8B964" w14:textId="28A75C18"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2CE9ED3B" w14:textId="7001E310"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F74CF9C" w14:textId="77777777" w:rsidR="00E809A0" w:rsidRPr="00D613A6" w:rsidRDefault="00E809A0" w:rsidP="00E809A0">
            <w:pPr>
              <w:pStyle w:val="Pamatteksts1"/>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3F4D8B7C" w14:textId="26A674EE" w:rsidR="00E809A0" w:rsidRPr="00D613A6" w:rsidRDefault="00E809A0" w:rsidP="00E809A0">
            <w:pPr>
              <w:pStyle w:val="Pamatteksts1"/>
              <w:spacing w:before="40" w:after="40"/>
              <w:ind w:firstLine="0"/>
              <w:rPr>
                <w:b/>
                <w:color w:val="17365D"/>
                <w:sz w:val="20"/>
                <w:szCs w:val="20"/>
              </w:rPr>
            </w:pPr>
            <w:r w:rsidRPr="00D613A6">
              <w:rPr>
                <w:b/>
                <w:bCs/>
                <w:color w:val="17365D"/>
                <w:sz w:val="20"/>
                <w:szCs w:val="20"/>
              </w:rPr>
              <w:t>IEŅĒMUMI KOPĀ</w:t>
            </w:r>
          </w:p>
        </w:tc>
        <w:tc>
          <w:tcPr>
            <w:tcW w:w="1588" w:type="dxa"/>
            <w:tcBorders>
              <w:top w:val="single" w:sz="4" w:space="0" w:color="17365D"/>
              <w:left w:val="nil"/>
              <w:bottom w:val="single" w:sz="4" w:space="0" w:color="17365D"/>
              <w:right w:val="nil"/>
            </w:tcBorders>
            <w:shd w:val="clear" w:color="000000" w:fill="FFFFFF"/>
            <w:vAlign w:val="center"/>
          </w:tcPr>
          <w:p w14:paraId="3D6509C3" w14:textId="5157CDCA"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10 031 203 168</w:t>
            </w:r>
          </w:p>
        </w:tc>
        <w:tc>
          <w:tcPr>
            <w:tcW w:w="1486" w:type="dxa"/>
            <w:tcBorders>
              <w:top w:val="single" w:sz="4" w:space="0" w:color="17365D"/>
              <w:left w:val="nil"/>
              <w:bottom w:val="single" w:sz="4" w:space="0" w:color="17365D"/>
              <w:right w:val="nil"/>
            </w:tcBorders>
            <w:shd w:val="clear" w:color="FFFFFF" w:fill="FFFFFF"/>
            <w:vAlign w:val="center"/>
          </w:tcPr>
          <w:p w14:paraId="095F3DC2" w14:textId="232E732F"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9 129 382 852</w:t>
            </w:r>
          </w:p>
        </w:tc>
        <w:tc>
          <w:tcPr>
            <w:tcW w:w="1623" w:type="dxa"/>
            <w:tcBorders>
              <w:top w:val="single" w:sz="4" w:space="0" w:color="17365D"/>
              <w:left w:val="nil"/>
              <w:bottom w:val="single" w:sz="4" w:space="0" w:color="17365D"/>
              <w:right w:val="nil"/>
            </w:tcBorders>
            <w:shd w:val="clear" w:color="auto" w:fill="auto"/>
            <w:vAlign w:val="center"/>
          </w:tcPr>
          <w:p w14:paraId="7117F41B" w14:textId="0093DD5B" w:rsidR="00E809A0" w:rsidRPr="00D613A6" w:rsidRDefault="00877027" w:rsidP="00877027">
            <w:pPr>
              <w:pStyle w:val="Pamatteksts1"/>
              <w:spacing w:before="60" w:after="60"/>
              <w:ind w:left="-104" w:right="12" w:firstLine="0"/>
              <w:jc w:val="right"/>
              <w:rPr>
                <w:b/>
                <w:bCs/>
                <w:color w:val="17365D"/>
                <w:sz w:val="20"/>
                <w:szCs w:val="20"/>
              </w:rPr>
            </w:pPr>
            <w:r w:rsidRPr="00D613A6">
              <w:rPr>
                <w:b/>
                <w:bCs/>
                <w:color w:val="17365D"/>
                <w:sz w:val="20"/>
                <w:szCs w:val="20"/>
              </w:rPr>
              <w:t>901</w:t>
            </w:r>
            <w:r w:rsidR="00E809A0" w:rsidRPr="00D613A6">
              <w:rPr>
                <w:b/>
                <w:bCs/>
                <w:color w:val="17365D"/>
                <w:sz w:val="20"/>
                <w:szCs w:val="20"/>
              </w:rPr>
              <w:t xml:space="preserve"> 8</w:t>
            </w:r>
            <w:r w:rsidRPr="00D613A6">
              <w:rPr>
                <w:b/>
                <w:bCs/>
                <w:color w:val="17365D"/>
                <w:sz w:val="20"/>
                <w:szCs w:val="20"/>
              </w:rPr>
              <w:t>20</w:t>
            </w:r>
            <w:r w:rsidR="00E809A0" w:rsidRPr="00D613A6">
              <w:rPr>
                <w:b/>
                <w:bCs/>
                <w:color w:val="17365D"/>
                <w:sz w:val="20"/>
                <w:szCs w:val="20"/>
              </w:rPr>
              <w:t xml:space="preserve"> </w:t>
            </w:r>
            <w:r w:rsidRPr="00D613A6">
              <w:rPr>
                <w:b/>
                <w:bCs/>
                <w:color w:val="17365D"/>
                <w:sz w:val="20"/>
                <w:szCs w:val="20"/>
              </w:rPr>
              <w:t>316</w:t>
            </w:r>
          </w:p>
        </w:tc>
        <w:tc>
          <w:tcPr>
            <w:tcW w:w="1434" w:type="dxa"/>
            <w:tcBorders>
              <w:top w:val="single" w:sz="4" w:space="0" w:color="17365D"/>
              <w:left w:val="nil"/>
              <w:bottom w:val="single" w:sz="4" w:space="0" w:color="17365D"/>
              <w:right w:val="nil"/>
            </w:tcBorders>
            <w:shd w:val="clear" w:color="auto" w:fill="auto"/>
            <w:vAlign w:val="center"/>
          </w:tcPr>
          <w:p w14:paraId="1370D573" w14:textId="106D17AE"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9.8</w:t>
            </w:r>
            <w:r w:rsidR="00877027" w:rsidRPr="00D613A6">
              <w:rPr>
                <w:b/>
                <w:bCs/>
                <w:color w:val="17365D"/>
                <w:sz w:val="20"/>
                <w:szCs w:val="20"/>
              </w:rPr>
              <w:t>8</w:t>
            </w:r>
          </w:p>
        </w:tc>
      </w:tr>
      <w:tr w:rsidR="00D613A6" w:rsidRPr="00D613A6" w14:paraId="23F2A2C2"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6F800D9" w14:textId="77737B1A" w:rsidR="00E809A0" w:rsidRPr="00D613A6" w:rsidRDefault="00E809A0" w:rsidP="00E809A0">
            <w:pPr>
              <w:spacing w:before="40" w:after="40"/>
              <w:ind w:firstLine="0"/>
              <w:jc w:val="left"/>
              <w:rPr>
                <w:bCs/>
                <w:color w:val="17365D"/>
                <w:sz w:val="20"/>
                <w:szCs w:val="20"/>
              </w:rPr>
            </w:pPr>
            <w:r w:rsidRPr="00D613A6">
              <w:rPr>
                <w:bCs/>
                <w:color w:val="17365D"/>
                <w:sz w:val="20"/>
                <w:szCs w:val="20"/>
              </w:rPr>
              <w:t>I.</w:t>
            </w:r>
          </w:p>
        </w:tc>
        <w:tc>
          <w:tcPr>
            <w:tcW w:w="2573" w:type="dxa"/>
            <w:tcBorders>
              <w:top w:val="single" w:sz="4" w:space="0" w:color="17365D"/>
              <w:left w:val="nil"/>
              <w:bottom w:val="single" w:sz="4" w:space="0" w:color="17365D"/>
              <w:right w:val="nil"/>
            </w:tcBorders>
            <w:shd w:val="clear" w:color="auto" w:fill="auto"/>
            <w:vAlign w:val="center"/>
          </w:tcPr>
          <w:p w14:paraId="23457BF8" w14:textId="5AE08AED"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Resursi izdevumu segšanai</w:t>
            </w:r>
          </w:p>
        </w:tc>
        <w:tc>
          <w:tcPr>
            <w:tcW w:w="1588" w:type="dxa"/>
            <w:tcBorders>
              <w:top w:val="single" w:sz="4" w:space="0" w:color="17365D"/>
              <w:left w:val="nil"/>
              <w:bottom w:val="single" w:sz="4" w:space="0" w:color="17365D"/>
              <w:right w:val="nil"/>
            </w:tcBorders>
            <w:shd w:val="clear" w:color="FFFFFF" w:fill="FFFFFF"/>
            <w:vAlign w:val="center"/>
          </w:tcPr>
          <w:p w14:paraId="365DC806" w14:textId="38ECEB7F" w:rsidR="00E809A0" w:rsidRPr="00D613A6" w:rsidRDefault="00E809A0" w:rsidP="0034155E">
            <w:pPr>
              <w:pStyle w:val="Pamatteksts1"/>
              <w:spacing w:before="40" w:after="40"/>
              <w:ind w:firstLine="0"/>
              <w:jc w:val="right"/>
              <w:rPr>
                <w:bCs/>
                <w:color w:val="17365D"/>
                <w:sz w:val="20"/>
                <w:szCs w:val="20"/>
              </w:rPr>
            </w:pPr>
            <w:r w:rsidRPr="00D613A6">
              <w:rPr>
                <w:bCs/>
                <w:color w:val="17365D"/>
                <w:sz w:val="20"/>
                <w:szCs w:val="20"/>
              </w:rPr>
              <w:t>1</w:t>
            </w:r>
            <w:r w:rsidR="0034155E" w:rsidRPr="00D613A6">
              <w:rPr>
                <w:bCs/>
                <w:color w:val="17365D"/>
                <w:sz w:val="20"/>
                <w:szCs w:val="20"/>
              </w:rPr>
              <w:t>1</w:t>
            </w:r>
            <w:r w:rsidRPr="00D613A6">
              <w:rPr>
                <w:bCs/>
                <w:color w:val="17365D"/>
                <w:sz w:val="20"/>
                <w:szCs w:val="20"/>
              </w:rPr>
              <w:t xml:space="preserve"> </w:t>
            </w:r>
            <w:r w:rsidR="0034155E" w:rsidRPr="00D613A6">
              <w:rPr>
                <w:bCs/>
                <w:color w:val="17365D"/>
                <w:sz w:val="20"/>
                <w:szCs w:val="20"/>
              </w:rPr>
              <w:t>278</w:t>
            </w:r>
            <w:r w:rsidRPr="00D613A6">
              <w:rPr>
                <w:bCs/>
                <w:color w:val="17365D"/>
                <w:sz w:val="20"/>
                <w:szCs w:val="20"/>
              </w:rPr>
              <w:t xml:space="preserve"> </w:t>
            </w:r>
            <w:r w:rsidR="0034155E" w:rsidRPr="00D613A6">
              <w:rPr>
                <w:bCs/>
                <w:color w:val="17365D"/>
                <w:sz w:val="20"/>
                <w:szCs w:val="20"/>
              </w:rPr>
              <w:t>675</w:t>
            </w:r>
            <w:r w:rsidRPr="00D613A6">
              <w:rPr>
                <w:bCs/>
                <w:color w:val="17365D"/>
                <w:sz w:val="20"/>
                <w:szCs w:val="20"/>
              </w:rPr>
              <w:t xml:space="preserve"> </w:t>
            </w:r>
            <w:r w:rsidR="0034155E" w:rsidRPr="00D613A6">
              <w:rPr>
                <w:bCs/>
                <w:color w:val="17365D"/>
                <w:sz w:val="20"/>
                <w:szCs w:val="20"/>
              </w:rPr>
              <w:t>161</w:t>
            </w:r>
          </w:p>
        </w:tc>
        <w:tc>
          <w:tcPr>
            <w:tcW w:w="1486" w:type="dxa"/>
            <w:tcBorders>
              <w:top w:val="single" w:sz="4" w:space="0" w:color="17365D"/>
              <w:left w:val="nil"/>
              <w:bottom w:val="single" w:sz="4" w:space="0" w:color="17365D"/>
              <w:right w:val="nil"/>
            </w:tcBorders>
            <w:shd w:val="clear" w:color="FFFFFF" w:fill="FFFFFF"/>
            <w:vAlign w:val="center"/>
          </w:tcPr>
          <w:p w14:paraId="46CF5ECD" w14:textId="1B4AF112"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10 717 070 715</w:t>
            </w:r>
          </w:p>
        </w:tc>
        <w:tc>
          <w:tcPr>
            <w:tcW w:w="1623" w:type="dxa"/>
            <w:tcBorders>
              <w:top w:val="single" w:sz="4" w:space="0" w:color="17365D"/>
              <w:left w:val="nil"/>
              <w:bottom w:val="single" w:sz="4" w:space="0" w:color="17365D"/>
              <w:right w:val="nil"/>
            </w:tcBorders>
            <w:shd w:val="clear" w:color="auto" w:fill="auto"/>
            <w:vAlign w:val="center"/>
          </w:tcPr>
          <w:p w14:paraId="1C74C966" w14:textId="44CAF593" w:rsidR="00E809A0" w:rsidRPr="00D613A6" w:rsidRDefault="00877027" w:rsidP="00877027">
            <w:pPr>
              <w:pStyle w:val="Pamatteksts1"/>
              <w:spacing w:before="40" w:after="40"/>
              <w:ind w:firstLine="0"/>
              <w:jc w:val="right"/>
              <w:rPr>
                <w:bCs/>
                <w:color w:val="17365D"/>
                <w:sz w:val="20"/>
                <w:szCs w:val="20"/>
              </w:rPr>
            </w:pPr>
            <w:r w:rsidRPr="00D613A6">
              <w:rPr>
                <w:bCs/>
                <w:color w:val="17365D"/>
                <w:sz w:val="20"/>
                <w:szCs w:val="20"/>
              </w:rPr>
              <w:t>561</w:t>
            </w:r>
            <w:r w:rsidR="00E809A0" w:rsidRPr="00D613A6">
              <w:rPr>
                <w:bCs/>
                <w:color w:val="17365D"/>
                <w:sz w:val="20"/>
                <w:szCs w:val="20"/>
              </w:rPr>
              <w:t xml:space="preserve"> </w:t>
            </w:r>
            <w:r w:rsidRPr="00D613A6">
              <w:rPr>
                <w:bCs/>
                <w:color w:val="17365D"/>
                <w:sz w:val="20"/>
                <w:szCs w:val="20"/>
              </w:rPr>
              <w:t>604 44</w:t>
            </w:r>
            <w:r w:rsidR="00E809A0" w:rsidRPr="00D613A6">
              <w:rPr>
                <w:bCs/>
                <w:color w:val="17365D"/>
                <w:sz w:val="20"/>
                <w:szCs w:val="20"/>
              </w:rPr>
              <w:t>6</w:t>
            </w:r>
          </w:p>
        </w:tc>
        <w:tc>
          <w:tcPr>
            <w:tcW w:w="1434" w:type="dxa"/>
            <w:tcBorders>
              <w:top w:val="single" w:sz="4" w:space="0" w:color="17365D"/>
              <w:left w:val="nil"/>
              <w:bottom w:val="single" w:sz="4" w:space="0" w:color="17365D"/>
              <w:right w:val="nil"/>
            </w:tcBorders>
            <w:shd w:val="clear" w:color="auto" w:fill="auto"/>
            <w:vAlign w:val="center"/>
          </w:tcPr>
          <w:p w14:paraId="475F093F" w14:textId="48A3C246" w:rsidR="00E809A0" w:rsidRPr="00D613A6" w:rsidRDefault="00877027" w:rsidP="00E809A0">
            <w:pPr>
              <w:pStyle w:val="Pamatteksts1"/>
              <w:spacing w:before="40" w:after="40"/>
              <w:ind w:firstLine="0"/>
              <w:jc w:val="right"/>
              <w:rPr>
                <w:bCs/>
                <w:color w:val="17365D"/>
                <w:sz w:val="20"/>
                <w:szCs w:val="20"/>
              </w:rPr>
            </w:pPr>
            <w:r w:rsidRPr="00D613A6">
              <w:rPr>
                <w:bCs/>
                <w:color w:val="17365D"/>
                <w:sz w:val="20"/>
                <w:szCs w:val="20"/>
              </w:rPr>
              <w:t>5</w:t>
            </w:r>
            <w:r w:rsidR="00E809A0" w:rsidRPr="00D613A6">
              <w:rPr>
                <w:bCs/>
                <w:color w:val="17365D"/>
                <w:sz w:val="20"/>
                <w:szCs w:val="20"/>
              </w:rPr>
              <w:t>.</w:t>
            </w:r>
            <w:r w:rsidRPr="00D613A6">
              <w:rPr>
                <w:bCs/>
                <w:color w:val="17365D"/>
                <w:sz w:val="20"/>
                <w:szCs w:val="20"/>
              </w:rPr>
              <w:t>24</w:t>
            </w:r>
          </w:p>
        </w:tc>
      </w:tr>
      <w:tr w:rsidR="00D613A6" w:rsidRPr="00D613A6" w14:paraId="4E2C5744"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4A5AE91A" w14:textId="4F587822"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2.0.</w:t>
            </w:r>
          </w:p>
        </w:tc>
        <w:tc>
          <w:tcPr>
            <w:tcW w:w="2573" w:type="dxa"/>
            <w:tcBorders>
              <w:top w:val="single" w:sz="4" w:space="0" w:color="17365D"/>
              <w:left w:val="nil"/>
              <w:bottom w:val="single" w:sz="4" w:space="0" w:color="17365D"/>
              <w:right w:val="nil"/>
            </w:tcBorders>
            <w:shd w:val="clear" w:color="auto" w:fill="auto"/>
            <w:vAlign w:val="center"/>
          </w:tcPr>
          <w:p w14:paraId="1CAD608A" w14:textId="4B06F319" w:rsidR="00E809A0" w:rsidRPr="00D613A6" w:rsidRDefault="00E809A0" w:rsidP="00E809A0">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588" w:type="dxa"/>
            <w:tcBorders>
              <w:top w:val="single" w:sz="4" w:space="0" w:color="17365D"/>
              <w:left w:val="nil"/>
              <w:bottom w:val="single" w:sz="4" w:space="0" w:color="17365D"/>
              <w:right w:val="nil"/>
            </w:tcBorders>
            <w:shd w:val="clear" w:color="000000" w:fill="FFFFFF"/>
            <w:vAlign w:val="center"/>
          </w:tcPr>
          <w:p w14:paraId="425D5CA8" w14:textId="63086740"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30 443</w:t>
            </w:r>
          </w:p>
        </w:tc>
        <w:tc>
          <w:tcPr>
            <w:tcW w:w="1486" w:type="dxa"/>
            <w:tcBorders>
              <w:top w:val="single" w:sz="4" w:space="0" w:color="17365D"/>
              <w:left w:val="nil"/>
              <w:bottom w:val="single" w:sz="4" w:space="0" w:color="17365D"/>
              <w:right w:val="nil"/>
            </w:tcBorders>
            <w:shd w:val="clear" w:color="000000" w:fill="FFFFFF"/>
            <w:vAlign w:val="center"/>
          </w:tcPr>
          <w:p w14:paraId="12B880A9" w14:textId="3F40AB14"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0</w:t>
            </w:r>
          </w:p>
        </w:tc>
        <w:tc>
          <w:tcPr>
            <w:tcW w:w="1623" w:type="dxa"/>
            <w:tcBorders>
              <w:top w:val="single" w:sz="4" w:space="0" w:color="17365D"/>
              <w:left w:val="nil"/>
              <w:bottom w:val="single" w:sz="4" w:space="0" w:color="17365D"/>
              <w:right w:val="nil"/>
            </w:tcBorders>
            <w:shd w:val="clear" w:color="auto" w:fill="auto"/>
            <w:vAlign w:val="center"/>
          </w:tcPr>
          <w:p w14:paraId="4B2C8EE3" w14:textId="543871F5"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30 443</w:t>
            </w:r>
          </w:p>
        </w:tc>
        <w:tc>
          <w:tcPr>
            <w:tcW w:w="1434" w:type="dxa"/>
            <w:tcBorders>
              <w:top w:val="single" w:sz="4" w:space="0" w:color="17365D"/>
              <w:left w:val="nil"/>
              <w:bottom w:val="single" w:sz="4" w:space="0" w:color="17365D"/>
              <w:right w:val="nil"/>
            </w:tcBorders>
            <w:shd w:val="clear" w:color="auto" w:fill="auto"/>
            <w:vAlign w:val="center"/>
          </w:tcPr>
          <w:p w14:paraId="07727CD9" w14:textId="1567B5D5" w:rsidR="00E809A0" w:rsidRPr="00D613A6" w:rsidRDefault="00877027" w:rsidP="00E809A0">
            <w:pPr>
              <w:pStyle w:val="Pamatteksts1"/>
              <w:spacing w:before="40" w:after="40"/>
              <w:ind w:firstLine="0"/>
              <w:jc w:val="right"/>
              <w:rPr>
                <w:bCs/>
                <w:color w:val="17365D"/>
                <w:sz w:val="20"/>
                <w:szCs w:val="20"/>
              </w:rPr>
            </w:pPr>
            <w:r w:rsidRPr="00D613A6">
              <w:rPr>
                <w:bCs/>
                <w:color w:val="17365D"/>
                <w:sz w:val="20"/>
                <w:szCs w:val="20"/>
              </w:rPr>
              <w:t>-</w:t>
            </w:r>
          </w:p>
        </w:tc>
      </w:tr>
      <w:tr w:rsidR="00D613A6" w:rsidRPr="00D613A6" w14:paraId="10F67C41"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FDD9795" w14:textId="12D7162D"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730D2A88" w14:textId="733E9656"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Maksas pakalpojumi un citi pašu ieņēmumi</w:t>
            </w:r>
          </w:p>
        </w:tc>
        <w:tc>
          <w:tcPr>
            <w:tcW w:w="1588" w:type="dxa"/>
            <w:tcBorders>
              <w:top w:val="single" w:sz="4" w:space="0" w:color="17365D"/>
              <w:left w:val="nil"/>
              <w:bottom w:val="single" w:sz="4" w:space="0" w:color="17365D"/>
              <w:right w:val="nil"/>
            </w:tcBorders>
            <w:shd w:val="clear" w:color="000000" w:fill="FFFFFF"/>
            <w:vAlign w:val="center"/>
          </w:tcPr>
          <w:p w14:paraId="7CADCD0B" w14:textId="08E42DA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175 59</w:t>
            </w:r>
            <w:r w:rsidR="00E809A0" w:rsidRPr="00D613A6">
              <w:rPr>
                <w:bCs/>
                <w:color w:val="17365D"/>
                <w:sz w:val="20"/>
                <w:szCs w:val="20"/>
              </w:rPr>
              <w:t xml:space="preserve">2 </w:t>
            </w:r>
            <w:r w:rsidRPr="00D613A6">
              <w:rPr>
                <w:bCs/>
                <w:color w:val="17365D"/>
                <w:sz w:val="20"/>
                <w:szCs w:val="20"/>
              </w:rPr>
              <w:t>814</w:t>
            </w:r>
          </w:p>
        </w:tc>
        <w:tc>
          <w:tcPr>
            <w:tcW w:w="1486" w:type="dxa"/>
            <w:tcBorders>
              <w:top w:val="single" w:sz="4" w:space="0" w:color="17365D"/>
              <w:left w:val="nil"/>
              <w:bottom w:val="single" w:sz="4" w:space="0" w:color="17365D"/>
              <w:right w:val="nil"/>
            </w:tcBorders>
            <w:shd w:val="clear" w:color="000000" w:fill="FFFFFF"/>
            <w:vAlign w:val="center"/>
          </w:tcPr>
          <w:p w14:paraId="32A00892" w14:textId="4DFD1F0A"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145 042 503</w:t>
            </w:r>
          </w:p>
        </w:tc>
        <w:tc>
          <w:tcPr>
            <w:tcW w:w="1623" w:type="dxa"/>
            <w:tcBorders>
              <w:top w:val="single" w:sz="4" w:space="0" w:color="17365D"/>
              <w:left w:val="nil"/>
              <w:bottom w:val="single" w:sz="4" w:space="0" w:color="17365D"/>
              <w:right w:val="nil"/>
            </w:tcBorders>
            <w:shd w:val="clear" w:color="auto" w:fill="auto"/>
            <w:vAlign w:val="center"/>
          </w:tcPr>
          <w:p w14:paraId="4075A055" w14:textId="135A5E4F"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30</w:t>
            </w:r>
            <w:r w:rsidR="00E809A0" w:rsidRPr="00D613A6">
              <w:rPr>
                <w:bCs/>
                <w:color w:val="17365D"/>
                <w:sz w:val="20"/>
                <w:szCs w:val="20"/>
              </w:rPr>
              <w:t xml:space="preserve"> </w:t>
            </w:r>
            <w:r w:rsidRPr="00D613A6">
              <w:rPr>
                <w:bCs/>
                <w:color w:val="17365D"/>
                <w:sz w:val="20"/>
                <w:szCs w:val="20"/>
              </w:rPr>
              <w:t>550</w:t>
            </w:r>
            <w:r w:rsidR="00E809A0" w:rsidRPr="00D613A6">
              <w:rPr>
                <w:bCs/>
                <w:color w:val="17365D"/>
                <w:sz w:val="20"/>
                <w:szCs w:val="20"/>
              </w:rPr>
              <w:t xml:space="preserve"> </w:t>
            </w:r>
            <w:r w:rsidRPr="00D613A6">
              <w:rPr>
                <w:bCs/>
                <w:color w:val="17365D"/>
                <w:sz w:val="20"/>
                <w:szCs w:val="20"/>
              </w:rPr>
              <w:t>311</w:t>
            </w:r>
          </w:p>
        </w:tc>
        <w:tc>
          <w:tcPr>
            <w:tcW w:w="1434" w:type="dxa"/>
            <w:tcBorders>
              <w:top w:val="single" w:sz="4" w:space="0" w:color="17365D"/>
              <w:left w:val="nil"/>
              <w:bottom w:val="single" w:sz="4" w:space="0" w:color="17365D"/>
              <w:right w:val="nil"/>
            </w:tcBorders>
            <w:shd w:val="clear" w:color="auto" w:fill="auto"/>
            <w:vAlign w:val="center"/>
          </w:tcPr>
          <w:p w14:paraId="7B94A7CE" w14:textId="5E2505A9"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21.06</w:t>
            </w:r>
          </w:p>
        </w:tc>
      </w:tr>
      <w:tr w:rsidR="00D613A6" w:rsidRPr="00D613A6" w14:paraId="3D65CD76"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4A7630F8" w14:textId="217373CF"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33418684" w14:textId="741AEC68" w:rsidR="00E809A0" w:rsidRPr="00D613A6" w:rsidRDefault="00E809A0" w:rsidP="00E809A0">
            <w:pPr>
              <w:pStyle w:val="Pamatteksts1"/>
              <w:spacing w:before="40" w:after="40"/>
              <w:ind w:firstLine="0"/>
              <w:jc w:val="left"/>
              <w:rPr>
                <w:bCs/>
                <w:color w:val="17365D"/>
                <w:sz w:val="20"/>
                <w:szCs w:val="20"/>
              </w:rPr>
            </w:pPr>
            <w:r w:rsidRPr="00D613A6">
              <w:rPr>
                <w:bCs/>
                <w:color w:val="17365D"/>
                <w:sz w:val="20"/>
                <w:szCs w:val="20"/>
              </w:rPr>
              <w:t>Ārvalstu finanšu palīdzība</w:t>
            </w:r>
          </w:p>
        </w:tc>
        <w:tc>
          <w:tcPr>
            <w:tcW w:w="1588" w:type="dxa"/>
            <w:tcBorders>
              <w:top w:val="single" w:sz="4" w:space="0" w:color="17365D"/>
              <w:left w:val="nil"/>
              <w:bottom w:val="single" w:sz="4" w:space="0" w:color="17365D"/>
              <w:right w:val="nil"/>
            </w:tcBorders>
            <w:shd w:val="clear" w:color="000000" w:fill="FFFFFF"/>
            <w:vAlign w:val="center"/>
          </w:tcPr>
          <w:p w14:paraId="6CF1E9A0" w14:textId="39D2B46E"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255 640 532</w:t>
            </w:r>
          </w:p>
        </w:tc>
        <w:tc>
          <w:tcPr>
            <w:tcW w:w="1486" w:type="dxa"/>
            <w:tcBorders>
              <w:top w:val="single" w:sz="4" w:space="0" w:color="17365D"/>
              <w:left w:val="nil"/>
              <w:bottom w:val="single" w:sz="4" w:space="0" w:color="17365D"/>
              <w:right w:val="nil"/>
            </w:tcBorders>
            <w:shd w:val="clear" w:color="000000" w:fill="FFFFFF"/>
            <w:vAlign w:val="center"/>
          </w:tcPr>
          <w:p w14:paraId="179CA134" w14:textId="505EDAC5"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255 640 532</w:t>
            </w:r>
          </w:p>
        </w:tc>
        <w:tc>
          <w:tcPr>
            <w:tcW w:w="1623" w:type="dxa"/>
            <w:tcBorders>
              <w:top w:val="single" w:sz="4" w:space="0" w:color="17365D"/>
              <w:left w:val="nil"/>
              <w:bottom w:val="single" w:sz="4" w:space="0" w:color="17365D"/>
              <w:right w:val="nil"/>
            </w:tcBorders>
            <w:shd w:val="clear" w:color="auto" w:fill="auto"/>
            <w:vAlign w:val="center"/>
          </w:tcPr>
          <w:p w14:paraId="6EE107F4" w14:textId="77896B3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7</w:t>
            </w:r>
            <w:r w:rsidR="00E809A0" w:rsidRPr="00D613A6">
              <w:rPr>
                <w:bCs/>
                <w:color w:val="17365D"/>
                <w:sz w:val="20"/>
                <w:szCs w:val="20"/>
              </w:rPr>
              <w:t xml:space="preserve"> </w:t>
            </w:r>
            <w:r w:rsidRPr="00D613A6">
              <w:rPr>
                <w:bCs/>
                <w:color w:val="17365D"/>
                <w:sz w:val="20"/>
                <w:szCs w:val="20"/>
              </w:rPr>
              <w:t>919</w:t>
            </w:r>
            <w:r w:rsidR="00E809A0" w:rsidRPr="00D613A6">
              <w:rPr>
                <w:bCs/>
                <w:color w:val="17365D"/>
                <w:sz w:val="20"/>
                <w:szCs w:val="20"/>
              </w:rPr>
              <w:t xml:space="preserve"> </w:t>
            </w:r>
            <w:r w:rsidRPr="00D613A6">
              <w:rPr>
                <w:bCs/>
                <w:color w:val="17365D"/>
                <w:sz w:val="20"/>
                <w:szCs w:val="20"/>
              </w:rPr>
              <w:t>953</w:t>
            </w:r>
          </w:p>
        </w:tc>
        <w:tc>
          <w:tcPr>
            <w:tcW w:w="1434" w:type="dxa"/>
            <w:tcBorders>
              <w:top w:val="single" w:sz="4" w:space="0" w:color="17365D"/>
              <w:left w:val="nil"/>
              <w:bottom w:val="single" w:sz="4" w:space="0" w:color="17365D"/>
              <w:right w:val="nil"/>
            </w:tcBorders>
            <w:shd w:val="clear" w:color="auto" w:fill="auto"/>
            <w:vAlign w:val="center"/>
          </w:tcPr>
          <w:p w14:paraId="49FB0118" w14:textId="1BD58C54"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w:t>
            </w:r>
            <w:r w:rsidR="00F448D0" w:rsidRPr="00D613A6">
              <w:rPr>
                <w:bCs/>
                <w:color w:val="17365D"/>
                <w:sz w:val="20"/>
                <w:szCs w:val="20"/>
              </w:rPr>
              <w:t>10</w:t>
            </w:r>
          </w:p>
        </w:tc>
      </w:tr>
      <w:tr w:rsidR="00D613A6" w:rsidRPr="00D613A6" w14:paraId="761CBEDA"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2220F3E8" w14:textId="6BC82A96"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6539DFB9" w14:textId="0F378C8C"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Transferti</w:t>
            </w:r>
          </w:p>
        </w:tc>
        <w:tc>
          <w:tcPr>
            <w:tcW w:w="1588" w:type="dxa"/>
            <w:tcBorders>
              <w:top w:val="single" w:sz="4" w:space="0" w:color="17365D"/>
              <w:left w:val="nil"/>
              <w:bottom w:val="single" w:sz="4" w:space="0" w:color="17365D"/>
              <w:right w:val="nil"/>
            </w:tcBorders>
            <w:shd w:val="clear" w:color="000000" w:fill="FFFFFF"/>
            <w:vAlign w:val="center"/>
          </w:tcPr>
          <w:p w14:paraId="6A655EAE" w14:textId="04509DC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4</w:t>
            </w:r>
            <w:r w:rsidR="00E809A0" w:rsidRPr="00D613A6">
              <w:rPr>
                <w:bCs/>
                <w:color w:val="17365D"/>
                <w:sz w:val="20"/>
                <w:szCs w:val="20"/>
              </w:rPr>
              <w:t xml:space="preserve"> </w:t>
            </w:r>
            <w:r w:rsidRPr="00D613A6">
              <w:rPr>
                <w:bCs/>
                <w:color w:val="17365D"/>
                <w:sz w:val="20"/>
                <w:szCs w:val="20"/>
              </w:rPr>
              <w:t>822</w:t>
            </w:r>
            <w:r w:rsidR="00E809A0" w:rsidRPr="00D613A6">
              <w:rPr>
                <w:bCs/>
                <w:color w:val="17365D"/>
                <w:sz w:val="20"/>
                <w:szCs w:val="20"/>
              </w:rPr>
              <w:t xml:space="preserve"> </w:t>
            </w:r>
            <w:r w:rsidRPr="00D613A6">
              <w:rPr>
                <w:bCs/>
                <w:color w:val="17365D"/>
                <w:sz w:val="20"/>
                <w:szCs w:val="20"/>
              </w:rPr>
              <w:t>824</w:t>
            </w:r>
          </w:p>
        </w:tc>
        <w:tc>
          <w:tcPr>
            <w:tcW w:w="1486" w:type="dxa"/>
            <w:tcBorders>
              <w:top w:val="single" w:sz="4" w:space="0" w:color="17365D"/>
              <w:left w:val="nil"/>
              <w:bottom w:val="single" w:sz="4" w:space="0" w:color="17365D"/>
              <w:right w:val="nil"/>
            </w:tcBorders>
            <w:shd w:val="clear" w:color="000000" w:fill="FFFFFF"/>
            <w:vAlign w:val="center"/>
          </w:tcPr>
          <w:p w14:paraId="4DEE234F" w14:textId="0D2B32C2"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3 941 951</w:t>
            </w:r>
          </w:p>
        </w:tc>
        <w:tc>
          <w:tcPr>
            <w:tcW w:w="1623" w:type="dxa"/>
            <w:tcBorders>
              <w:top w:val="single" w:sz="4" w:space="0" w:color="17365D"/>
              <w:left w:val="nil"/>
              <w:bottom w:val="single" w:sz="4" w:space="0" w:color="17365D"/>
              <w:right w:val="nil"/>
            </w:tcBorders>
            <w:shd w:val="clear" w:color="auto" w:fill="auto"/>
            <w:vAlign w:val="center"/>
          </w:tcPr>
          <w:p w14:paraId="43CD6F55" w14:textId="248B37FB" w:rsidR="00E809A0" w:rsidRPr="00D613A6" w:rsidRDefault="00E809A0" w:rsidP="00F448D0">
            <w:pPr>
              <w:pStyle w:val="Pamatteksts1"/>
              <w:spacing w:before="40" w:after="40"/>
              <w:ind w:firstLine="0"/>
              <w:jc w:val="right"/>
              <w:rPr>
                <w:bCs/>
                <w:color w:val="17365D"/>
                <w:sz w:val="20"/>
                <w:szCs w:val="20"/>
              </w:rPr>
            </w:pPr>
            <w:r w:rsidRPr="00D613A6">
              <w:rPr>
                <w:bCs/>
                <w:color w:val="17365D"/>
                <w:sz w:val="20"/>
                <w:szCs w:val="20"/>
              </w:rPr>
              <w:t xml:space="preserve"> </w:t>
            </w:r>
            <w:r w:rsidR="00F448D0" w:rsidRPr="00D613A6">
              <w:rPr>
                <w:bCs/>
                <w:color w:val="17365D"/>
                <w:sz w:val="20"/>
                <w:szCs w:val="20"/>
              </w:rPr>
              <w:t>880</w:t>
            </w:r>
            <w:r w:rsidRPr="00D613A6">
              <w:rPr>
                <w:bCs/>
                <w:color w:val="17365D"/>
                <w:sz w:val="20"/>
                <w:szCs w:val="20"/>
              </w:rPr>
              <w:t xml:space="preserve"> </w:t>
            </w:r>
            <w:r w:rsidR="00F448D0" w:rsidRPr="00D613A6">
              <w:rPr>
                <w:bCs/>
                <w:color w:val="17365D"/>
                <w:sz w:val="20"/>
                <w:szCs w:val="20"/>
              </w:rPr>
              <w:t>873</w:t>
            </w:r>
          </w:p>
        </w:tc>
        <w:tc>
          <w:tcPr>
            <w:tcW w:w="1434" w:type="dxa"/>
            <w:tcBorders>
              <w:top w:val="single" w:sz="4" w:space="0" w:color="17365D"/>
              <w:left w:val="nil"/>
              <w:bottom w:val="single" w:sz="4" w:space="0" w:color="17365D"/>
              <w:right w:val="nil"/>
            </w:tcBorders>
            <w:shd w:val="clear" w:color="auto" w:fill="auto"/>
            <w:vAlign w:val="center"/>
          </w:tcPr>
          <w:p w14:paraId="3B34DD5B" w14:textId="1F58CF5B"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22.35</w:t>
            </w:r>
          </w:p>
        </w:tc>
      </w:tr>
      <w:tr w:rsidR="00D613A6" w:rsidRPr="00D613A6" w14:paraId="663790E5" w14:textId="77777777" w:rsidTr="009E718D">
        <w:trPr>
          <w:jc w:val="right"/>
        </w:trPr>
        <w:tc>
          <w:tcPr>
            <w:tcW w:w="1077" w:type="dxa"/>
            <w:tcBorders>
              <w:top w:val="single" w:sz="4" w:space="0" w:color="17365D"/>
              <w:left w:val="nil"/>
              <w:bottom w:val="nil"/>
              <w:right w:val="nil"/>
            </w:tcBorders>
            <w:shd w:val="clear" w:color="auto" w:fill="auto"/>
            <w:vAlign w:val="center"/>
          </w:tcPr>
          <w:p w14:paraId="6D005961" w14:textId="476ADFB7"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7.0.</w:t>
            </w:r>
          </w:p>
        </w:tc>
        <w:tc>
          <w:tcPr>
            <w:tcW w:w="2573" w:type="dxa"/>
            <w:tcBorders>
              <w:top w:val="single" w:sz="4" w:space="0" w:color="17365D"/>
              <w:left w:val="nil"/>
              <w:bottom w:val="nil"/>
              <w:right w:val="nil"/>
            </w:tcBorders>
            <w:shd w:val="clear" w:color="auto" w:fill="auto"/>
            <w:vAlign w:val="center"/>
          </w:tcPr>
          <w:p w14:paraId="4171D1DA" w14:textId="258308EE"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Dotācija no vispārējiem ieņēmumiem</w:t>
            </w:r>
          </w:p>
        </w:tc>
        <w:tc>
          <w:tcPr>
            <w:tcW w:w="1531" w:type="dxa"/>
            <w:tcBorders>
              <w:top w:val="single" w:sz="4" w:space="0" w:color="17365D"/>
              <w:left w:val="nil"/>
              <w:bottom w:val="nil"/>
              <w:right w:val="nil"/>
            </w:tcBorders>
            <w:shd w:val="clear" w:color="000000" w:fill="FFFFFF"/>
            <w:vAlign w:val="center"/>
          </w:tcPr>
          <w:p w14:paraId="7A83A3A1" w14:textId="7DA9860F" w:rsidR="00E809A0" w:rsidRPr="00D613A6" w:rsidRDefault="00E809A0" w:rsidP="00F448D0">
            <w:pPr>
              <w:pStyle w:val="Pamatteksts1"/>
              <w:spacing w:before="40" w:after="40"/>
              <w:ind w:firstLine="0"/>
              <w:jc w:val="right"/>
              <w:rPr>
                <w:bCs/>
                <w:color w:val="17365D"/>
                <w:sz w:val="20"/>
                <w:szCs w:val="20"/>
              </w:rPr>
            </w:pPr>
            <w:r w:rsidRPr="00D613A6">
              <w:rPr>
                <w:bCs/>
                <w:color w:val="17365D"/>
                <w:sz w:val="20"/>
                <w:szCs w:val="20"/>
              </w:rPr>
              <w:t xml:space="preserve">10 </w:t>
            </w:r>
            <w:r w:rsidR="00F448D0" w:rsidRPr="00D613A6">
              <w:rPr>
                <w:bCs/>
                <w:color w:val="17365D"/>
                <w:sz w:val="20"/>
                <w:szCs w:val="20"/>
              </w:rPr>
              <w:t>834</w:t>
            </w:r>
            <w:r w:rsidRPr="00D613A6">
              <w:rPr>
                <w:bCs/>
                <w:color w:val="17365D"/>
                <w:sz w:val="20"/>
                <w:szCs w:val="20"/>
              </w:rPr>
              <w:t xml:space="preserve"> </w:t>
            </w:r>
            <w:r w:rsidR="00F448D0" w:rsidRPr="00D613A6">
              <w:rPr>
                <w:bCs/>
                <w:color w:val="17365D"/>
                <w:sz w:val="20"/>
                <w:szCs w:val="20"/>
              </w:rPr>
              <w:t>668</w:t>
            </w:r>
            <w:r w:rsidRPr="00D613A6">
              <w:rPr>
                <w:bCs/>
                <w:color w:val="17365D"/>
                <w:sz w:val="20"/>
                <w:szCs w:val="20"/>
              </w:rPr>
              <w:t xml:space="preserve"> </w:t>
            </w:r>
            <w:r w:rsidR="00F448D0" w:rsidRPr="00D613A6">
              <w:rPr>
                <w:bCs/>
                <w:color w:val="17365D"/>
                <w:sz w:val="20"/>
                <w:szCs w:val="20"/>
              </w:rPr>
              <w:t>595</w:t>
            </w:r>
          </w:p>
        </w:tc>
        <w:tc>
          <w:tcPr>
            <w:tcW w:w="1559" w:type="dxa"/>
            <w:tcBorders>
              <w:top w:val="single" w:sz="4" w:space="0" w:color="17365D"/>
              <w:left w:val="nil"/>
              <w:bottom w:val="nil"/>
              <w:right w:val="nil"/>
            </w:tcBorders>
            <w:shd w:val="clear" w:color="000000" w:fill="FFFFFF"/>
            <w:vAlign w:val="center"/>
          </w:tcPr>
          <w:p w14:paraId="27295A2A" w14:textId="36C925CB"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10 312 445 729</w:t>
            </w:r>
          </w:p>
        </w:tc>
        <w:tc>
          <w:tcPr>
            <w:tcW w:w="1623" w:type="dxa"/>
            <w:tcBorders>
              <w:top w:val="single" w:sz="4" w:space="0" w:color="17365D"/>
              <w:left w:val="nil"/>
              <w:bottom w:val="nil"/>
              <w:right w:val="nil"/>
            </w:tcBorders>
            <w:shd w:val="clear" w:color="auto" w:fill="auto"/>
            <w:vAlign w:val="center"/>
          </w:tcPr>
          <w:p w14:paraId="7874CEB4" w14:textId="16B50E3D"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522 222</w:t>
            </w:r>
            <w:r w:rsidR="00E809A0" w:rsidRPr="00D613A6">
              <w:rPr>
                <w:bCs/>
                <w:color w:val="17365D"/>
                <w:sz w:val="20"/>
                <w:szCs w:val="20"/>
              </w:rPr>
              <w:t xml:space="preserve"> </w:t>
            </w:r>
            <w:r w:rsidRPr="00D613A6">
              <w:rPr>
                <w:bCs/>
                <w:color w:val="17365D"/>
                <w:sz w:val="20"/>
                <w:szCs w:val="20"/>
              </w:rPr>
              <w:t>866</w:t>
            </w:r>
          </w:p>
        </w:tc>
        <w:tc>
          <w:tcPr>
            <w:tcW w:w="1434" w:type="dxa"/>
            <w:tcBorders>
              <w:top w:val="single" w:sz="4" w:space="0" w:color="17365D"/>
              <w:left w:val="nil"/>
              <w:bottom w:val="nil"/>
              <w:right w:val="nil"/>
            </w:tcBorders>
            <w:shd w:val="clear" w:color="auto" w:fill="auto"/>
            <w:vAlign w:val="center"/>
          </w:tcPr>
          <w:p w14:paraId="342ABA3D" w14:textId="213E74A7"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5</w:t>
            </w:r>
            <w:r w:rsidR="00E809A0" w:rsidRPr="00D613A6">
              <w:rPr>
                <w:bCs/>
                <w:color w:val="17365D"/>
                <w:sz w:val="20"/>
                <w:szCs w:val="20"/>
              </w:rPr>
              <w:t>.0</w:t>
            </w:r>
            <w:r w:rsidRPr="00D613A6">
              <w:rPr>
                <w:bCs/>
                <w:color w:val="17365D"/>
                <w:sz w:val="20"/>
                <w:szCs w:val="20"/>
              </w:rPr>
              <w:t>6</w:t>
            </w:r>
          </w:p>
        </w:tc>
      </w:tr>
      <w:tr w:rsidR="00D613A6" w:rsidRPr="00D613A6" w14:paraId="5F1B5672" w14:textId="77777777" w:rsidTr="000A5BFC">
        <w:trPr>
          <w:jc w:val="right"/>
        </w:trPr>
        <w:tc>
          <w:tcPr>
            <w:tcW w:w="1077" w:type="dxa"/>
            <w:tcBorders>
              <w:top w:val="nil"/>
              <w:left w:val="nil"/>
              <w:bottom w:val="nil"/>
              <w:right w:val="nil"/>
            </w:tcBorders>
            <w:shd w:val="clear" w:color="auto" w:fill="B9CDE5"/>
            <w:vAlign w:val="center"/>
          </w:tcPr>
          <w:p w14:paraId="0D5C29A0" w14:textId="77777777" w:rsidR="00365401" w:rsidRPr="00D613A6" w:rsidRDefault="00365401" w:rsidP="0036540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23B59F6A" w14:textId="77777777" w:rsidR="00365401" w:rsidRPr="00D613A6" w:rsidRDefault="00365401" w:rsidP="00365401">
            <w:pPr>
              <w:pStyle w:val="Pamatteksts1"/>
              <w:spacing w:before="40" w:after="40"/>
              <w:ind w:firstLine="0"/>
              <w:jc w:val="left"/>
              <w:rPr>
                <w:color w:val="17365D"/>
                <w:sz w:val="20"/>
                <w:szCs w:val="20"/>
              </w:rPr>
            </w:pPr>
          </w:p>
        </w:tc>
        <w:tc>
          <w:tcPr>
            <w:tcW w:w="1588" w:type="dxa"/>
            <w:tcBorders>
              <w:top w:val="nil"/>
              <w:left w:val="nil"/>
              <w:bottom w:val="nil"/>
              <w:right w:val="nil"/>
            </w:tcBorders>
            <w:shd w:val="clear" w:color="auto" w:fill="B9CDE5"/>
            <w:vAlign w:val="center"/>
          </w:tcPr>
          <w:p w14:paraId="09B17982" w14:textId="77777777" w:rsidR="00365401" w:rsidRPr="00D613A6" w:rsidRDefault="00365401" w:rsidP="00365401">
            <w:pPr>
              <w:pStyle w:val="Pamatteksts1"/>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788F1517" w14:textId="77777777" w:rsidR="00365401" w:rsidRPr="00D613A6" w:rsidRDefault="00365401" w:rsidP="00365401">
            <w:pPr>
              <w:pStyle w:val="Pamatteksts1"/>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2428FB48" w14:textId="77777777" w:rsidR="00365401" w:rsidRPr="00D613A6" w:rsidRDefault="00365401" w:rsidP="00365401">
            <w:pPr>
              <w:pStyle w:val="Pamatteksts1"/>
              <w:spacing w:before="60" w:after="60"/>
              <w:ind w:left="-104" w:right="-112" w:firstLine="0"/>
              <w:jc w:val="right"/>
              <w:rPr>
                <w:bCs/>
                <w:color w:val="17365D"/>
                <w:sz w:val="20"/>
                <w:szCs w:val="20"/>
              </w:rPr>
            </w:pPr>
          </w:p>
        </w:tc>
        <w:tc>
          <w:tcPr>
            <w:tcW w:w="1434" w:type="dxa"/>
            <w:tcBorders>
              <w:top w:val="nil"/>
              <w:left w:val="nil"/>
              <w:bottom w:val="nil"/>
              <w:right w:val="nil"/>
            </w:tcBorders>
            <w:shd w:val="clear" w:color="auto" w:fill="B9CDE5"/>
            <w:vAlign w:val="center"/>
          </w:tcPr>
          <w:p w14:paraId="533CD099" w14:textId="77777777" w:rsidR="00365401" w:rsidRPr="00D613A6" w:rsidRDefault="00365401" w:rsidP="00365401">
            <w:pPr>
              <w:pStyle w:val="Pamatteksts1"/>
              <w:spacing w:before="40" w:after="40"/>
              <w:ind w:firstLine="0"/>
              <w:jc w:val="right"/>
              <w:rPr>
                <w:bCs/>
                <w:color w:val="17365D"/>
                <w:sz w:val="20"/>
                <w:szCs w:val="20"/>
              </w:rPr>
            </w:pPr>
          </w:p>
        </w:tc>
      </w:tr>
    </w:tbl>
    <w:p w14:paraId="38B4451D" w14:textId="77777777" w:rsidR="005123EA" w:rsidRPr="00D613A6" w:rsidRDefault="005123EA" w:rsidP="00A9204F">
      <w:pPr>
        <w:pStyle w:val="Pamatteksts1"/>
        <w:rPr>
          <w:noProof w:val="0"/>
          <w:color w:val="17365D"/>
        </w:rPr>
      </w:pPr>
    </w:p>
    <w:p w14:paraId="1B8D61D0" w14:textId="4FF6B5E3" w:rsidR="00A9204F" w:rsidRPr="00D613A6" w:rsidRDefault="00C00BEB" w:rsidP="00A9204F">
      <w:pPr>
        <w:pStyle w:val="Pamatteksts1"/>
        <w:rPr>
          <w:noProof w:val="0"/>
          <w:color w:val="17365D"/>
        </w:rPr>
      </w:pPr>
      <w:r w:rsidRPr="00D613A6">
        <w:rPr>
          <w:noProof w:val="0"/>
          <w:color w:val="17365D"/>
        </w:rPr>
        <w:t>202</w:t>
      </w:r>
      <w:r w:rsidR="000F3747" w:rsidRPr="00D613A6">
        <w:rPr>
          <w:noProof w:val="0"/>
          <w:color w:val="17365D"/>
        </w:rPr>
        <w:t>4</w:t>
      </w:r>
      <w:r w:rsidRPr="00D613A6">
        <w:rPr>
          <w:noProof w:val="0"/>
          <w:color w:val="17365D"/>
        </w:rPr>
        <w:t xml:space="preserve">. gadā valsts pamatbudžetā veikti </w:t>
      </w:r>
      <w:r w:rsidR="000F3747" w:rsidRPr="00D613A6">
        <w:rPr>
          <w:noProof w:val="0"/>
          <w:color w:val="17365D"/>
        </w:rPr>
        <w:t>88</w:t>
      </w:r>
      <w:r w:rsidRPr="00D613A6">
        <w:rPr>
          <w:noProof w:val="0"/>
          <w:color w:val="17365D"/>
        </w:rPr>
        <w:t>,</w:t>
      </w:r>
      <w:r w:rsidR="00C47CED" w:rsidRPr="00D613A6">
        <w:rPr>
          <w:noProof w:val="0"/>
          <w:color w:val="17365D"/>
        </w:rPr>
        <w:t>59</w:t>
      </w:r>
      <w:r w:rsidR="009957FA" w:rsidRPr="00D613A6">
        <w:rPr>
          <w:noProof w:val="0"/>
          <w:color w:val="17365D"/>
        </w:rPr>
        <w:t> </w:t>
      </w:r>
      <w:r w:rsidRPr="00D613A6">
        <w:rPr>
          <w:noProof w:val="0"/>
          <w:color w:val="17365D"/>
        </w:rPr>
        <w:t xml:space="preserve">% no Likumā plānotās gada izdevumu kopsummas. </w:t>
      </w:r>
      <w:r w:rsidR="00A9204F" w:rsidRPr="00D613A6">
        <w:rPr>
          <w:noProof w:val="0"/>
          <w:color w:val="17365D"/>
        </w:rPr>
        <w:t xml:space="preserve">Valsts pamatbudžeta programmas izdevumu izpildi </w:t>
      </w:r>
      <w:r w:rsidR="000832EC" w:rsidRPr="00D613A6">
        <w:rPr>
          <w:noProof w:val="0"/>
          <w:color w:val="17365D"/>
        </w:rPr>
        <w:t>gandrīz</w:t>
      </w:r>
      <w:r w:rsidR="00A9204F" w:rsidRPr="00D613A6">
        <w:rPr>
          <w:noProof w:val="0"/>
          <w:color w:val="17365D"/>
        </w:rPr>
        <w:t xml:space="preserve"> </w:t>
      </w:r>
      <w:r w:rsidR="006641F5" w:rsidRPr="00D613A6">
        <w:rPr>
          <w:noProof w:val="0"/>
          <w:color w:val="17365D"/>
        </w:rPr>
        <w:t>apguv</w:t>
      </w:r>
      <w:r w:rsidR="00466A60" w:rsidRPr="00D613A6">
        <w:rPr>
          <w:noProof w:val="0"/>
          <w:color w:val="17365D"/>
        </w:rPr>
        <w:t>i</w:t>
      </w:r>
      <w:r w:rsidR="006641F5" w:rsidRPr="00D613A6">
        <w:rPr>
          <w:noProof w:val="0"/>
          <w:color w:val="17365D"/>
        </w:rPr>
        <w:t xml:space="preserve">s </w:t>
      </w:r>
      <w:r w:rsidR="00662A56" w:rsidRPr="00D613A6">
        <w:rPr>
          <w:noProof w:val="0"/>
          <w:color w:val="17365D"/>
        </w:rPr>
        <w:t>64. </w:t>
      </w:r>
      <w:r w:rsidR="00C42D14" w:rsidRPr="00D613A6">
        <w:rPr>
          <w:noProof w:val="0"/>
          <w:color w:val="17365D"/>
        </w:rPr>
        <w:t>budžeta resors “</w:t>
      </w:r>
      <w:r w:rsidR="00662A56" w:rsidRPr="00D613A6">
        <w:rPr>
          <w:noProof w:val="0"/>
          <w:color w:val="17365D"/>
        </w:rPr>
        <w:t>Dotācija pašvaldībām”</w:t>
      </w:r>
      <w:r w:rsidR="00C42D14" w:rsidRPr="00D613A6">
        <w:rPr>
          <w:noProof w:val="0"/>
          <w:color w:val="17365D"/>
        </w:rPr>
        <w:t xml:space="preserve"> </w:t>
      </w:r>
      <w:r w:rsidR="000832EC" w:rsidRPr="00D613A6">
        <w:rPr>
          <w:noProof w:val="0"/>
          <w:color w:val="17365D"/>
        </w:rPr>
        <w:t xml:space="preserve">(99,92%) </w:t>
      </w:r>
      <w:r w:rsidR="00C42D14" w:rsidRPr="00D613A6">
        <w:rPr>
          <w:noProof w:val="0"/>
          <w:color w:val="17365D"/>
        </w:rPr>
        <w:t>un</w:t>
      </w:r>
      <w:r w:rsidR="006641F5" w:rsidRPr="00D613A6">
        <w:rPr>
          <w:noProof w:val="0"/>
          <w:color w:val="17365D"/>
        </w:rPr>
        <w:t xml:space="preserve"> 62. </w:t>
      </w:r>
      <w:r w:rsidR="00A9204F" w:rsidRPr="00D613A6">
        <w:rPr>
          <w:noProof w:val="0"/>
          <w:color w:val="17365D"/>
        </w:rPr>
        <w:t>budžeta resors “Mērķdotācijas pašvaldībām”</w:t>
      </w:r>
      <w:r w:rsidR="000832EC" w:rsidRPr="00D613A6">
        <w:rPr>
          <w:noProof w:val="0"/>
          <w:color w:val="17365D"/>
        </w:rPr>
        <w:t xml:space="preserve"> (99,80%)</w:t>
      </w:r>
      <w:r w:rsidR="004478E1" w:rsidRPr="00D613A6">
        <w:rPr>
          <w:noProof w:val="0"/>
          <w:color w:val="17365D"/>
        </w:rPr>
        <w:t>.</w:t>
      </w:r>
      <w:r w:rsidR="00A9204F" w:rsidRPr="00D613A6">
        <w:rPr>
          <w:noProof w:val="0"/>
          <w:color w:val="17365D"/>
        </w:rPr>
        <w:t xml:space="preserve"> Augsta valsts pamatbudžeta izdevumu izpilde </w:t>
      </w:r>
      <w:r w:rsidR="00B5784D" w:rsidRPr="00D613A6">
        <w:rPr>
          <w:noProof w:val="0"/>
          <w:color w:val="17365D"/>
        </w:rPr>
        <w:t>ir</w:t>
      </w:r>
      <w:r w:rsidR="00A9204F" w:rsidRPr="00D613A6">
        <w:rPr>
          <w:noProof w:val="0"/>
          <w:color w:val="17365D"/>
        </w:rPr>
        <w:t xml:space="preserve"> </w:t>
      </w:r>
      <w:r w:rsidR="000832EC" w:rsidRPr="00D613A6">
        <w:rPr>
          <w:noProof w:val="0"/>
          <w:color w:val="17365D"/>
        </w:rPr>
        <w:t xml:space="preserve">Tiesībsarga birojam (99,76%), Sabiedriskajiem elektroniskajiem plašsaziņas līdzekļiem (99,72%), </w:t>
      </w:r>
      <w:r w:rsidR="0097254E" w:rsidRPr="00D613A6">
        <w:rPr>
          <w:noProof w:val="0"/>
          <w:color w:val="17365D"/>
        </w:rPr>
        <w:t>Aizsardzības ministrijai (99,</w:t>
      </w:r>
      <w:r w:rsidR="000832EC" w:rsidRPr="00D613A6">
        <w:rPr>
          <w:noProof w:val="0"/>
          <w:color w:val="17365D"/>
        </w:rPr>
        <w:t>41</w:t>
      </w:r>
      <w:r w:rsidR="0097254E" w:rsidRPr="00D613A6">
        <w:rPr>
          <w:noProof w:val="0"/>
          <w:color w:val="17365D"/>
        </w:rPr>
        <w:t>%)</w:t>
      </w:r>
      <w:r w:rsidR="000832EC" w:rsidRPr="00D613A6">
        <w:rPr>
          <w:noProof w:val="0"/>
          <w:color w:val="17365D"/>
        </w:rPr>
        <w:t xml:space="preserve"> un Veselības ministrijai (99,25%).</w:t>
      </w:r>
    </w:p>
    <w:p w14:paraId="6A4CFEE9" w14:textId="77777777" w:rsidR="0097254E" w:rsidRPr="00D613A6" w:rsidRDefault="0097254E" w:rsidP="006E22AF">
      <w:pPr>
        <w:pStyle w:val="Pamatteksts1"/>
        <w:rPr>
          <w:noProof w:val="0"/>
          <w:vanish/>
          <w:color w:val="17365D"/>
          <w:specVanish/>
        </w:rPr>
      </w:pPr>
    </w:p>
    <w:p w14:paraId="19EE287B" w14:textId="5885ED9D" w:rsidR="00A9204F" w:rsidRPr="00D613A6" w:rsidRDefault="00A001CD" w:rsidP="006E22AF">
      <w:pPr>
        <w:pStyle w:val="Pamatteksts1"/>
        <w:rPr>
          <w:noProof w:val="0"/>
          <w:color w:val="17365D"/>
        </w:rPr>
      </w:pPr>
      <w:r w:rsidRPr="00D613A6">
        <w:rPr>
          <w:noProof w:val="0"/>
          <w:color w:val="17365D"/>
        </w:rPr>
        <w:t xml:space="preserve">Zemākā </w:t>
      </w:r>
      <w:r w:rsidR="00A9204F" w:rsidRPr="00D613A6">
        <w:rPr>
          <w:noProof w:val="0"/>
          <w:color w:val="17365D"/>
        </w:rPr>
        <w:t xml:space="preserve">valsts pamatbudžeta izdevumu izpilde </w:t>
      </w:r>
      <w:r w:rsidR="00B5784D" w:rsidRPr="00D613A6">
        <w:rPr>
          <w:noProof w:val="0"/>
          <w:color w:val="17365D"/>
        </w:rPr>
        <w:t>ir</w:t>
      </w:r>
      <w:r w:rsidR="00A9204F" w:rsidRPr="00D613A6">
        <w:rPr>
          <w:noProof w:val="0"/>
          <w:color w:val="17365D"/>
        </w:rPr>
        <w:t xml:space="preserve"> </w:t>
      </w:r>
      <w:r w:rsidR="000832EC" w:rsidRPr="00D613A6">
        <w:rPr>
          <w:noProof w:val="0"/>
          <w:color w:val="17365D"/>
        </w:rPr>
        <w:t>Finanšu</w:t>
      </w:r>
      <w:r w:rsidR="0097254E" w:rsidRPr="00D613A6">
        <w:rPr>
          <w:noProof w:val="0"/>
          <w:color w:val="17365D"/>
        </w:rPr>
        <w:t xml:space="preserve"> ministrijai</w:t>
      </w:r>
      <w:r w:rsidR="00E33F5F" w:rsidRPr="00D613A6">
        <w:rPr>
          <w:noProof w:val="0"/>
          <w:color w:val="17365D"/>
        </w:rPr>
        <w:t xml:space="preserve"> (</w:t>
      </w:r>
      <w:r w:rsidR="007232CE" w:rsidRPr="00D613A6">
        <w:rPr>
          <w:noProof w:val="0"/>
          <w:color w:val="17365D"/>
        </w:rPr>
        <w:t>neie</w:t>
      </w:r>
      <w:r w:rsidR="009334EF" w:rsidRPr="00D613A6">
        <w:rPr>
          <w:noProof w:val="0"/>
          <w:color w:val="17365D"/>
        </w:rPr>
        <w:t>kļaujot</w:t>
      </w:r>
      <w:r w:rsidR="007232CE" w:rsidRPr="00D613A6">
        <w:rPr>
          <w:noProof w:val="0"/>
          <w:color w:val="17365D"/>
        </w:rPr>
        <w:t xml:space="preserve"> </w:t>
      </w:r>
      <w:r w:rsidR="00E33F5F" w:rsidRPr="00D613A6">
        <w:rPr>
          <w:noProof w:val="0"/>
          <w:color w:val="17365D"/>
        </w:rPr>
        <w:t>62.un 74.</w:t>
      </w:r>
      <w:r w:rsidR="00283A59">
        <w:rPr>
          <w:noProof w:val="0"/>
          <w:color w:val="17365D"/>
        </w:rPr>
        <w:t> </w:t>
      </w:r>
      <w:r w:rsidR="009334EF" w:rsidRPr="00D613A6">
        <w:rPr>
          <w:noProof w:val="0"/>
          <w:color w:val="17365D"/>
        </w:rPr>
        <w:t>resoru</w:t>
      </w:r>
      <w:r w:rsidR="00E33F5F" w:rsidRPr="00D613A6">
        <w:rPr>
          <w:noProof w:val="0"/>
          <w:color w:val="17365D"/>
        </w:rPr>
        <w:t>)</w:t>
      </w:r>
      <w:r w:rsidR="0097254E" w:rsidRPr="00D613A6">
        <w:rPr>
          <w:noProof w:val="0"/>
          <w:color w:val="17365D"/>
        </w:rPr>
        <w:t xml:space="preserve"> </w:t>
      </w:r>
      <w:r w:rsidR="00C42D14" w:rsidRPr="00D613A6">
        <w:rPr>
          <w:noProof w:val="0"/>
          <w:color w:val="17365D"/>
        </w:rPr>
        <w:t xml:space="preserve">– </w:t>
      </w:r>
      <w:r w:rsidR="0097254E" w:rsidRPr="00D613A6">
        <w:rPr>
          <w:noProof w:val="0"/>
          <w:color w:val="17365D"/>
        </w:rPr>
        <w:t xml:space="preserve">izdevumi </w:t>
      </w:r>
      <w:r w:rsidR="00B5784D" w:rsidRPr="00D613A6">
        <w:rPr>
          <w:noProof w:val="0"/>
          <w:color w:val="17365D"/>
        </w:rPr>
        <w:t>ir</w:t>
      </w:r>
      <w:r w:rsidR="0097254E" w:rsidRPr="00D613A6">
        <w:rPr>
          <w:noProof w:val="0"/>
          <w:color w:val="17365D"/>
        </w:rPr>
        <w:t xml:space="preserve"> </w:t>
      </w:r>
      <w:r w:rsidR="000832EC" w:rsidRPr="00D613A6">
        <w:rPr>
          <w:noProof w:val="0"/>
          <w:color w:val="17365D"/>
        </w:rPr>
        <w:t>60,48</w:t>
      </w:r>
      <w:r w:rsidR="0097254E" w:rsidRPr="00D613A6">
        <w:rPr>
          <w:noProof w:val="0"/>
          <w:color w:val="17365D"/>
        </w:rPr>
        <w:t>% no precizētā valsts pamatbudžeta izdevumu plāna</w:t>
      </w:r>
      <w:r w:rsidR="000754A6" w:rsidRPr="00D613A6">
        <w:rPr>
          <w:noProof w:val="0"/>
          <w:color w:val="17365D"/>
        </w:rPr>
        <w:t>. I</w:t>
      </w:r>
      <w:r w:rsidR="000754A6" w:rsidRPr="00D613A6">
        <w:rPr>
          <w:color w:val="17365D"/>
        </w:rPr>
        <w:t>emaksas ES budžetā 2024. gadā galvenokārt ir mazākas nekā sākotnēji prognozēts saistībā ar daudzgadu finanšu shēmas vidusposma pārskatu, kurš sākotnēji paredzēja Latvijai lielākus maksājumus.  2024. gadā ir pārskatītas arī pašu resursu bāzu prognozes un rezultātā Eiropas Komisija sagatavoja E</w:t>
      </w:r>
      <w:r w:rsidR="00F63C69" w:rsidRPr="00D613A6">
        <w:rPr>
          <w:color w:val="17365D"/>
        </w:rPr>
        <w:t xml:space="preserve">iropas </w:t>
      </w:r>
      <w:r w:rsidR="000754A6" w:rsidRPr="00D613A6">
        <w:rPr>
          <w:color w:val="17365D"/>
        </w:rPr>
        <w:t>S</w:t>
      </w:r>
      <w:r w:rsidR="00F63C69" w:rsidRPr="00D613A6">
        <w:rPr>
          <w:color w:val="17365D"/>
        </w:rPr>
        <w:t>avienības</w:t>
      </w:r>
      <w:r w:rsidR="000754A6" w:rsidRPr="00D613A6">
        <w:rPr>
          <w:color w:val="17365D"/>
        </w:rPr>
        <w:t xml:space="preserve"> budžeta grozījumu Nr.4 projektu, lai iekļautu ietekmi 2024. gada E</w:t>
      </w:r>
      <w:r w:rsidR="00D36A35" w:rsidRPr="00D613A6">
        <w:rPr>
          <w:color w:val="17365D"/>
        </w:rPr>
        <w:t xml:space="preserve">iropas </w:t>
      </w:r>
      <w:r w:rsidR="000754A6" w:rsidRPr="00D613A6">
        <w:rPr>
          <w:color w:val="17365D"/>
        </w:rPr>
        <w:t>S</w:t>
      </w:r>
      <w:r w:rsidR="00D36A35" w:rsidRPr="00D613A6">
        <w:rPr>
          <w:color w:val="17365D"/>
        </w:rPr>
        <w:t>avienības</w:t>
      </w:r>
      <w:r w:rsidR="000754A6" w:rsidRPr="00D613A6">
        <w:rPr>
          <w:color w:val="17365D"/>
        </w:rPr>
        <w:t xml:space="preserve"> budžetā, tas rezultējās ar Latvijas pašu resursu iemaksu E</w:t>
      </w:r>
      <w:r w:rsidR="00D36A35" w:rsidRPr="00D613A6">
        <w:rPr>
          <w:color w:val="17365D"/>
        </w:rPr>
        <w:t xml:space="preserve">iropas </w:t>
      </w:r>
      <w:r w:rsidR="000754A6" w:rsidRPr="00D613A6">
        <w:rPr>
          <w:color w:val="17365D"/>
        </w:rPr>
        <w:t>S</w:t>
      </w:r>
      <w:r w:rsidR="00D36A35" w:rsidRPr="00D613A6">
        <w:rPr>
          <w:color w:val="17365D"/>
        </w:rPr>
        <w:t xml:space="preserve">avienības </w:t>
      </w:r>
      <w:r w:rsidR="000754A6" w:rsidRPr="00D613A6">
        <w:rPr>
          <w:color w:val="17365D"/>
        </w:rPr>
        <w:t xml:space="preserve"> 2024. gada budžetā samazinājumu.</w:t>
      </w:r>
    </w:p>
    <w:p w14:paraId="344CECB9" w14:textId="3F47F347" w:rsidR="00680482" w:rsidRPr="00D613A6" w:rsidRDefault="000832EC" w:rsidP="006E22AF">
      <w:pPr>
        <w:spacing w:after="0"/>
        <w:contextualSpacing/>
        <w:rPr>
          <w:noProof/>
          <w:color w:val="17365D"/>
        </w:rPr>
      </w:pPr>
      <w:r w:rsidRPr="00D613A6">
        <w:rPr>
          <w:color w:val="17365D"/>
        </w:rPr>
        <w:t>Satiksmes ministr</w:t>
      </w:r>
      <w:r w:rsidR="00290660" w:rsidRPr="00D613A6">
        <w:rPr>
          <w:color w:val="17365D"/>
        </w:rPr>
        <w:t>i</w:t>
      </w:r>
      <w:r w:rsidRPr="00D613A6">
        <w:rPr>
          <w:color w:val="17365D"/>
        </w:rPr>
        <w:t>jas</w:t>
      </w:r>
      <w:r w:rsidR="0097254E" w:rsidRPr="00D613A6">
        <w:rPr>
          <w:color w:val="17365D"/>
        </w:rPr>
        <w:t xml:space="preserve"> izdevumi </w:t>
      </w:r>
      <w:r w:rsidR="00B5784D" w:rsidRPr="00D613A6">
        <w:rPr>
          <w:color w:val="17365D"/>
        </w:rPr>
        <w:t>ir</w:t>
      </w:r>
      <w:r w:rsidR="0097254E" w:rsidRPr="00D613A6">
        <w:rPr>
          <w:color w:val="17365D"/>
        </w:rPr>
        <w:t xml:space="preserve"> 8</w:t>
      </w:r>
      <w:r w:rsidRPr="00D613A6">
        <w:rPr>
          <w:color w:val="17365D"/>
        </w:rPr>
        <w:t>2</w:t>
      </w:r>
      <w:r w:rsidR="0097254E" w:rsidRPr="00D613A6">
        <w:rPr>
          <w:color w:val="17365D"/>
        </w:rPr>
        <w:t>,</w:t>
      </w:r>
      <w:r w:rsidRPr="00D613A6">
        <w:rPr>
          <w:color w:val="17365D"/>
        </w:rPr>
        <w:t>24</w:t>
      </w:r>
      <w:r w:rsidR="0097254E" w:rsidRPr="00D613A6">
        <w:rPr>
          <w:color w:val="17365D"/>
        </w:rPr>
        <w:t xml:space="preserve">% no precizētā valsts pamatbudžeta izdevumu plāna, kas galvenokārt saistīts ar </w:t>
      </w:r>
      <w:r w:rsidR="003A0731">
        <w:rPr>
          <w:color w:val="17365D"/>
        </w:rPr>
        <w:t xml:space="preserve">projektēšanas darbu kavējumiem Eiropas transporta infrastruktūras projektu </w:t>
      </w:r>
      <w:r w:rsidR="00680482" w:rsidRPr="00D613A6">
        <w:rPr>
          <w:noProof/>
          <w:color w:val="17365D"/>
        </w:rPr>
        <w:t xml:space="preserve">Rail Baltica </w:t>
      </w:r>
      <w:r w:rsidR="003A0731">
        <w:rPr>
          <w:noProof/>
          <w:color w:val="17365D"/>
        </w:rPr>
        <w:t>ietvaros, kas atsevišķos posmos ir sasniegusi trīs gadu kavējumus, un novēlotu (viena gada kavējums) būvniecības līguma parakstīšanu būvniecības darbiem ārpus Rīgas.</w:t>
      </w:r>
    </w:p>
    <w:p w14:paraId="0D7D272E" w14:textId="63629A82" w:rsidR="006E22AF" w:rsidRDefault="000832EC" w:rsidP="006E22AF">
      <w:pPr>
        <w:pStyle w:val="Pamatteksts1"/>
        <w:spacing w:after="0"/>
        <w:rPr>
          <w:color w:val="17365D"/>
        </w:rPr>
      </w:pPr>
      <w:r w:rsidRPr="00D613A6">
        <w:rPr>
          <w:noProof w:val="0"/>
          <w:color w:val="17365D"/>
        </w:rPr>
        <w:t>Radio un televīzijas regulatoram</w:t>
      </w:r>
      <w:r w:rsidR="0097254E" w:rsidRPr="00D613A6">
        <w:rPr>
          <w:noProof w:val="0"/>
          <w:color w:val="17365D"/>
        </w:rPr>
        <w:t xml:space="preserve"> izdevum</w:t>
      </w:r>
      <w:r w:rsidR="00C42D14" w:rsidRPr="00D613A6">
        <w:rPr>
          <w:noProof w:val="0"/>
          <w:color w:val="17365D"/>
        </w:rPr>
        <w:t>i</w:t>
      </w:r>
      <w:r w:rsidR="0097254E" w:rsidRPr="00D613A6">
        <w:rPr>
          <w:noProof w:val="0"/>
          <w:color w:val="17365D"/>
        </w:rPr>
        <w:t xml:space="preserve"> </w:t>
      </w:r>
      <w:r w:rsidR="00B5784D" w:rsidRPr="00D613A6">
        <w:rPr>
          <w:noProof w:val="0"/>
          <w:color w:val="17365D"/>
        </w:rPr>
        <w:t>ir</w:t>
      </w:r>
      <w:r w:rsidRPr="00D613A6">
        <w:rPr>
          <w:noProof w:val="0"/>
          <w:color w:val="17365D"/>
        </w:rPr>
        <w:t xml:space="preserve"> 83</w:t>
      </w:r>
      <w:r w:rsidR="00B77F0E" w:rsidRPr="00D613A6">
        <w:rPr>
          <w:noProof w:val="0"/>
          <w:color w:val="17365D"/>
        </w:rPr>
        <w:t>,</w:t>
      </w:r>
      <w:r w:rsidRPr="00D613A6">
        <w:rPr>
          <w:noProof w:val="0"/>
          <w:color w:val="17365D"/>
        </w:rPr>
        <w:t>17</w:t>
      </w:r>
      <w:r w:rsidR="0097254E" w:rsidRPr="00D613A6">
        <w:rPr>
          <w:noProof w:val="0"/>
          <w:color w:val="17365D"/>
        </w:rPr>
        <w:t>% no precizētā vals</w:t>
      </w:r>
      <w:r w:rsidR="006E22AF" w:rsidRPr="00D613A6">
        <w:rPr>
          <w:noProof w:val="0"/>
          <w:color w:val="17365D"/>
        </w:rPr>
        <w:t xml:space="preserve">ts pamatbudžeta izdevumu plāna. </w:t>
      </w:r>
      <w:r w:rsidR="006E22AF" w:rsidRPr="00D613A6">
        <w:rPr>
          <w:color w:val="17365D"/>
        </w:rPr>
        <w:t>Piešķirtais finansējums netika apgūts pilnībā, jo mainījās situācija elektroenerģijas tirgū – Nord Pool biržā Latvijas tirdzniecības zonā elektroenerģijas cenas samazinājās. Kopējās VAS "Latvijas Valsts radio un televīzijas centrs</w:t>
      </w:r>
      <w:r w:rsidR="00290660" w:rsidRPr="00D613A6">
        <w:rPr>
          <w:color w:val="17365D"/>
        </w:rPr>
        <w:t>”</w:t>
      </w:r>
      <w:r w:rsidR="006E22AF" w:rsidRPr="00D613A6">
        <w:rPr>
          <w:color w:val="17365D"/>
        </w:rPr>
        <w:t xml:space="preserve"> iegādātās elektroenerģijas izmaksas 2024.gadā bija par 26% mazākas nekā bija ieplānots un par 44% mazākas nekā faktiskās izmaksas 2023. gadā.</w:t>
      </w:r>
    </w:p>
    <w:p w14:paraId="61D6A9D6" w14:textId="558A87E5" w:rsidR="00B46A07" w:rsidRPr="00D613A6" w:rsidRDefault="006E22AF" w:rsidP="006E22AF">
      <w:pPr>
        <w:pStyle w:val="Pamatteksts1"/>
        <w:spacing w:after="0"/>
        <w:jc w:val="right"/>
        <w:rPr>
          <w:rFonts w:eastAsia="Arial Unicode MS"/>
          <w:i/>
          <w:color w:val="17365D"/>
          <w:sz w:val="20"/>
        </w:rPr>
      </w:pPr>
      <w:r w:rsidRPr="00D613A6">
        <w:rPr>
          <w:color w:val="17365D"/>
        </w:rPr>
        <w:t xml:space="preserve"> </w:t>
      </w:r>
      <w:r w:rsidR="00505F8A" w:rsidRPr="00D613A6">
        <w:rPr>
          <w:rFonts w:eastAsia="Arial Unicode MS"/>
          <w:i/>
          <w:color w:val="17365D"/>
          <w:sz w:val="20"/>
        </w:rPr>
        <w:t>6.</w:t>
      </w:r>
      <w:r w:rsidR="00DC3A74" w:rsidRPr="00D613A6">
        <w:rPr>
          <w:rFonts w:eastAsia="Arial Unicode MS"/>
          <w:i/>
          <w:color w:val="17365D"/>
          <w:sz w:val="20"/>
        </w:rPr>
        <w:t>5</w:t>
      </w:r>
      <w:r w:rsidR="00B46A07" w:rsidRPr="00D613A6">
        <w:rPr>
          <w:rFonts w:eastAsia="Arial Unicode MS"/>
          <w:i/>
          <w:color w:val="17365D"/>
          <w:sz w:val="20"/>
        </w:rPr>
        <w:t xml:space="preserve">. tabula. </w:t>
      </w:r>
      <w:r w:rsidR="00833DED" w:rsidRPr="00D613A6">
        <w:rPr>
          <w:rFonts w:eastAsia="Arial Unicode MS"/>
          <w:i/>
          <w:color w:val="17365D"/>
          <w:sz w:val="20"/>
        </w:rPr>
        <w:t>P</w:t>
      </w:r>
      <w:r w:rsidR="00B46A07" w:rsidRPr="00D613A6">
        <w:rPr>
          <w:bCs/>
          <w:i/>
          <w:color w:val="17365D"/>
          <w:sz w:val="20"/>
          <w:szCs w:val="20"/>
        </w:rPr>
        <w:t>amatbudžeta</w:t>
      </w:r>
      <w:r w:rsidR="00833DED" w:rsidRPr="00D613A6">
        <w:rPr>
          <w:bCs/>
          <w:i/>
          <w:color w:val="17365D"/>
          <w:sz w:val="20"/>
          <w:szCs w:val="20"/>
        </w:rPr>
        <w:t xml:space="preserve"> izdevumu izmaiņas</w:t>
      </w:r>
      <w:r w:rsidR="00B46A07" w:rsidRPr="00D613A6">
        <w:rPr>
          <w:bCs/>
          <w:i/>
          <w:color w:val="17365D"/>
          <w:sz w:val="20"/>
          <w:szCs w:val="20"/>
        </w:rPr>
        <w:t xml:space="preserve"> (</w:t>
      </w:r>
      <w:r w:rsidR="00B46A07" w:rsidRPr="00D613A6">
        <w:rPr>
          <w:i/>
          <w:color w:val="17365D"/>
          <w:sz w:val="20"/>
        </w:rPr>
        <w:t>euro)</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D613A6" w:rsidRPr="00D613A6" w14:paraId="3966DFB2" w14:textId="77777777" w:rsidTr="000A0514">
        <w:trPr>
          <w:trHeight w:val="285"/>
          <w:tblHeader/>
        </w:trPr>
        <w:tc>
          <w:tcPr>
            <w:tcW w:w="896" w:type="dxa"/>
            <w:vMerge w:val="restart"/>
            <w:tcBorders>
              <w:top w:val="nil"/>
              <w:bottom w:val="single" w:sz="4" w:space="0" w:color="17365D"/>
            </w:tcBorders>
            <w:shd w:val="clear" w:color="auto" w:fill="B9CDE5"/>
            <w:vAlign w:val="center"/>
          </w:tcPr>
          <w:p w14:paraId="033E6591" w14:textId="3A31E968"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0BCB1198"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7A00648"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0817CA35" w14:textId="58BAD6F2" w:rsidR="00B1217F" w:rsidRPr="00D613A6" w:rsidRDefault="00B1217F" w:rsidP="000F7E81">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711DB6F9" w14:textId="4788050E" w:rsidR="00B1217F" w:rsidRPr="00D613A6" w:rsidRDefault="00B1217F" w:rsidP="00E65C60">
            <w:pPr>
              <w:pStyle w:val="Pamatteksts1"/>
              <w:spacing w:before="60" w:after="60"/>
              <w:ind w:firstLine="0"/>
              <w:jc w:val="center"/>
              <w:rPr>
                <w:b/>
                <w:color w:val="17365D"/>
                <w:sz w:val="20"/>
                <w:szCs w:val="20"/>
              </w:rPr>
            </w:pPr>
            <w:r w:rsidRPr="00D613A6">
              <w:rPr>
                <w:b/>
                <w:color w:val="17365D"/>
                <w:sz w:val="20"/>
                <w:szCs w:val="20"/>
              </w:rPr>
              <w:t>(1</w:t>
            </w:r>
            <w:r w:rsidR="00E65C60" w:rsidRPr="00D613A6">
              <w:rPr>
                <w:b/>
                <w:color w:val="17365D"/>
                <w:sz w:val="20"/>
                <w:szCs w:val="20"/>
              </w:rPr>
              <w:t>.</w:t>
            </w:r>
            <w:r w:rsidRPr="00D613A6">
              <w:rPr>
                <w:b/>
                <w:color w:val="17365D"/>
                <w:sz w:val="20"/>
                <w:szCs w:val="20"/>
              </w:rPr>
              <w:t>– 2</w:t>
            </w:r>
            <w:r w:rsidR="00E65C60" w:rsidRPr="00D613A6">
              <w:rPr>
                <w:b/>
                <w:color w:val="17365D"/>
                <w:sz w:val="20"/>
                <w:szCs w:val="20"/>
              </w:rPr>
              <w:t>.</w:t>
            </w:r>
            <w:r w:rsidRPr="00D613A6">
              <w:rPr>
                <w:b/>
                <w:color w:val="17365D"/>
                <w:sz w:val="20"/>
                <w:szCs w:val="20"/>
              </w:rPr>
              <w:t>)</w:t>
            </w:r>
          </w:p>
        </w:tc>
        <w:tc>
          <w:tcPr>
            <w:tcW w:w="1328" w:type="dxa"/>
            <w:vMerge w:val="restart"/>
            <w:tcBorders>
              <w:top w:val="nil"/>
              <w:bottom w:val="single" w:sz="4" w:space="0" w:color="17365D"/>
            </w:tcBorders>
            <w:shd w:val="clear" w:color="auto" w:fill="B9CDE5"/>
            <w:vAlign w:val="center"/>
          </w:tcPr>
          <w:p w14:paraId="1C0157F5"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Procentuālās izmaiņas</w:t>
            </w:r>
          </w:p>
          <w:p w14:paraId="7A982240" w14:textId="01A00D45" w:rsidR="00B1217F" w:rsidRPr="00D613A6" w:rsidRDefault="00B1217F" w:rsidP="000911ED">
            <w:pPr>
              <w:pStyle w:val="Pamatteksts1"/>
              <w:spacing w:before="60" w:after="60"/>
              <w:ind w:firstLine="0"/>
              <w:jc w:val="center"/>
              <w:rPr>
                <w:b/>
                <w:color w:val="17365D"/>
                <w:sz w:val="20"/>
                <w:szCs w:val="20"/>
              </w:rPr>
            </w:pPr>
            <w:r w:rsidRPr="00D613A6">
              <w:rPr>
                <w:b/>
                <w:color w:val="17365D"/>
                <w:sz w:val="20"/>
                <w:szCs w:val="20"/>
              </w:rPr>
              <w:t>(</w:t>
            </w:r>
            <w:r w:rsidR="000911ED"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1DFB791D" w14:textId="77777777" w:rsidTr="005123EA">
        <w:trPr>
          <w:trHeight w:val="709"/>
          <w:tblHeader/>
        </w:trPr>
        <w:tc>
          <w:tcPr>
            <w:tcW w:w="896" w:type="dxa"/>
            <w:vMerge/>
            <w:tcBorders>
              <w:top w:val="single" w:sz="4" w:space="0" w:color="17365D"/>
              <w:bottom w:val="nil"/>
            </w:tcBorders>
            <w:shd w:val="clear" w:color="auto" w:fill="auto"/>
            <w:vAlign w:val="center"/>
          </w:tcPr>
          <w:p w14:paraId="3AA07F9D" w14:textId="77777777" w:rsidR="00B1217F" w:rsidRPr="00D613A6" w:rsidRDefault="00B1217F" w:rsidP="00833DED">
            <w:pPr>
              <w:pStyle w:val="Pamatteksts1"/>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A4C7C9B" w14:textId="77777777" w:rsidR="00B1217F" w:rsidRPr="00D613A6" w:rsidRDefault="00B1217F" w:rsidP="00833DED">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32686B4F" w14:textId="77777777" w:rsidR="00B1217F" w:rsidRPr="00D613A6" w:rsidRDefault="00B1217F" w:rsidP="00833DED">
            <w:pPr>
              <w:spacing w:after="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6AE97DC7" w14:textId="77777777" w:rsidR="00B1217F" w:rsidRPr="00D613A6" w:rsidRDefault="00B1217F" w:rsidP="00833DED">
            <w:pPr>
              <w:spacing w:after="0"/>
              <w:ind w:firstLine="0"/>
              <w:jc w:val="center"/>
              <w:rPr>
                <w:b/>
                <w:noProof/>
                <w:color w:val="17365D"/>
                <w:sz w:val="20"/>
                <w:szCs w:val="20"/>
              </w:rPr>
            </w:pPr>
            <w:r w:rsidRPr="00D613A6">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A8B3175" w14:textId="77777777" w:rsidR="00B1217F" w:rsidRPr="00D613A6" w:rsidRDefault="00B1217F" w:rsidP="00833DED">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68F51A36" w14:textId="77777777" w:rsidR="00B1217F" w:rsidRPr="00D613A6" w:rsidRDefault="00B1217F" w:rsidP="00833DED">
            <w:pPr>
              <w:spacing w:after="0"/>
              <w:ind w:firstLine="0"/>
              <w:jc w:val="center"/>
              <w:rPr>
                <w:color w:val="17365D"/>
                <w:sz w:val="20"/>
                <w:szCs w:val="20"/>
              </w:rPr>
            </w:pPr>
          </w:p>
        </w:tc>
      </w:tr>
      <w:tr w:rsidR="00D613A6" w:rsidRPr="00D613A6" w14:paraId="3C769C09" w14:textId="77777777" w:rsidTr="002D20BC">
        <w:trPr>
          <w:trHeight w:val="285"/>
          <w:tblHeader/>
        </w:trPr>
        <w:tc>
          <w:tcPr>
            <w:tcW w:w="896" w:type="dxa"/>
            <w:tcBorders>
              <w:top w:val="nil"/>
              <w:bottom w:val="single" w:sz="4" w:space="0" w:color="17365D"/>
            </w:tcBorders>
            <w:shd w:val="clear" w:color="auto" w:fill="auto"/>
            <w:vAlign w:val="center"/>
          </w:tcPr>
          <w:p w14:paraId="53620BCD" w14:textId="7777777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A</w:t>
            </w:r>
          </w:p>
        </w:tc>
        <w:tc>
          <w:tcPr>
            <w:tcW w:w="2565" w:type="dxa"/>
            <w:tcBorders>
              <w:top w:val="nil"/>
              <w:bottom w:val="single" w:sz="4" w:space="0" w:color="17365D"/>
            </w:tcBorders>
            <w:shd w:val="clear" w:color="auto" w:fill="auto"/>
            <w:vAlign w:val="center"/>
          </w:tcPr>
          <w:p w14:paraId="736B8F23" w14:textId="7777777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shd w:val="clear" w:color="auto" w:fill="auto"/>
            <w:vAlign w:val="center"/>
          </w:tcPr>
          <w:p w14:paraId="461B5C28" w14:textId="4F5B42B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shd w:val="clear" w:color="auto" w:fill="auto"/>
            <w:vAlign w:val="center"/>
          </w:tcPr>
          <w:p w14:paraId="22AB3397" w14:textId="419D7C7F"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2</w:t>
            </w:r>
          </w:p>
        </w:tc>
        <w:tc>
          <w:tcPr>
            <w:tcW w:w="1632" w:type="dxa"/>
            <w:tcBorders>
              <w:top w:val="nil"/>
              <w:bottom w:val="single" w:sz="4" w:space="0" w:color="17365D"/>
            </w:tcBorders>
            <w:shd w:val="clear" w:color="auto" w:fill="auto"/>
            <w:vAlign w:val="center"/>
          </w:tcPr>
          <w:p w14:paraId="1CE6DF28" w14:textId="4A5C8EB5"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shd w:val="clear" w:color="auto" w:fill="auto"/>
            <w:vAlign w:val="center"/>
          </w:tcPr>
          <w:p w14:paraId="600BB6F4" w14:textId="0C70B32F"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90EBBBA" w14:textId="77777777" w:rsidTr="005123EA">
        <w:trPr>
          <w:trHeight w:val="285"/>
        </w:trPr>
        <w:tc>
          <w:tcPr>
            <w:tcW w:w="896" w:type="dxa"/>
            <w:tcBorders>
              <w:top w:val="single" w:sz="4" w:space="0" w:color="17365D"/>
              <w:bottom w:val="single" w:sz="4" w:space="0" w:color="17365D"/>
            </w:tcBorders>
            <w:shd w:val="clear" w:color="auto" w:fill="auto"/>
            <w:vAlign w:val="center"/>
          </w:tcPr>
          <w:p w14:paraId="2D4CE69A" w14:textId="75954A93" w:rsidR="00CB5917" w:rsidRPr="00D613A6" w:rsidRDefault="00CB5917" w:rsidP="00CB5917">
            <w:pPr>
              <w:pStyle w:val="Pamatteksts1"/>
              <w:spacing w:before="40" w:after="40"/>
              <w:ind w:firstLine="0"/>
              <w:jc w:val="left"/>
              <w:rPr>
                <w:color w:val="17365D"/>
                <w:sz w:val="20"/>
                <w:szCs w:val="20"/>
              </w:rPr>
            </w:pPr>
            <w:r w:rsidRPr="00D613A6">
              <w:rPr>
                <w:b/>
                <w:color w:val="17365D"/>
                <w:sz w:val="20"/>
                <w:szCs w:val="20"/>
              </w:rPr>
              <w:t>II</w:t>
            </w:r>
            <w:r w:rsidRPr="00D613A6">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7A3779E8" w14:textId="4D5C2CCD" w:rsidR="00CB5917" w:rsidRPr="00D613A6" w:rsidRDefault="00CB5917" w:rsidP="00CB5917">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3231B954" w14:textId="4950D237" w:rsidR="00CB5917" w:rsidRPr="00D613A6" w:rsidRDefault="00CB5917" w:rsidP="00046B61">
            <w:pPr>
              <w:pStyle w:val="Pamatteksts1"/>
              <w:spacing w:before="40" w:after="40"/>
              <w:ind w:firstLine="0"/>
              <w:jc w:val="right"/>
              <w:rPr>
                <w:b/>
                <w:color w:val="17365D"/>
                <w:sz w:val="20"/>
                <w:szCs w:val="20"/>
              </w:rPr>
            </w:pPr>
            <w:r w:rsidRPr="00D613A6">
              <w:rPr>
                <w:b/>
                <w:color w:val="17365D"/>
                <w:sz w:val="20"/>
                <w:szCs w:val="20"/>
              </w:rPr>
              <w:t xml:space="preserve">11 </w:t>
            </w:r>
            <w:r w:rsidR="00046B61" w:rsidRPr="00D613A6">
              <w:rPr>
                <w:b/>
                <w:color w:val="17365D"/>
                <w:sz w:val="20"/>
                <w:szCs w:val="20"/>
              </w:rPr>
              <w:t>084</w:t>
            </w:r>
            <w:r w:rsidRPr="00D613A6">
              <w:rPr>
                <w:b/>
                <w:color w:val="17365D"/>
                <w:sz w:val="20"/>
                <w:szCs w:val="20"/>
              </w:rPr>
              <w:t xml:space="preserve"> </w:t>
            </w:r>
            <w:r w:rsidR="00046B61" w:rsidRPr="00D613A6">
              <w:rPr>
                <w:b/>
                <w:color w:val="17365D"/>
                <w:sz w:val="20"/>
                <w:szCs w:val="20"/>
              </w:rPr>
              <w:t>834</w:t>
            </w:r>
            <w:r w:rsidRPr="00D613A6">
              <w:rPr>
                <w:b/>
                <w:color w:val="17365D"/>
                <w:sz w:val="20"/>
                <w:szCs w:val="20"/>
              </w:rPr>
              <w:t xml:space="preserve"> </w:t>
            </w:r>
            <w:r w:rsidR="00046B61" w:rsidRPr="00D613A6">
              <w:rPr>
                <w:b/>
                <w:color w:val="17365D"/>
                <w:sz w:val="20"/>
                <w:szCs w:val="20"/>
              </w:rPr>
              <w:t>304</w:t>
            </w:r>
          </w:p>
        </w:tc>
        <w:tc>
          <w:tcPr>
            <w:tcW w:w="1482" w:type="dxa"/>
            <w:tcBorders>
              <w:top w:val="single" w:sz="4" w:space="0" w:color="17365D"/>
              <w:left w:val="nil"/>
              <w:bottom w:val="single" w:sz="4" w:space="0" w:color="17365D"/>
              <w:right w:val="nil"/>
            </w:tcBorders>
            <w:shd w:val="clear" w:color="000000" w:fill="FFFFFF"/>
            <w:vAlign w:val="center"/>
          </w:tcPr>
          <w:p w14:paraId="389F9E76" w14:textId="055A4293"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10 570 252 044</w:t>
            </w:r>
          </w:p>
        </w:tc>
        <w:tc>
          <w:tcPr>
            <w:tcW w:w="1632" w:type="dxa"/>
            <w:tcBorders>
              <w:top w:val="single" w:sz="4" w:space="0" w:color="17365D"/>
              <w:left w:val="nil"/>
              <w:bottom w:val="single" w:sz="4" w:space="0" w:color="17365D"/>
              <w:right w:val="nil"/>
            </w:tcBorders>
            <w:shd w:val="clear" w:color="auto" w:fill="auto"/>
            <w:vAlign w:val="center"/>
          </w:tcPr>
          <w:p w14:paraId="5E8EF1A0" w14:textId="4FBDB091"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5</w:t>
            </w:r>
            <w:r w:rsidR="00046B61" w:rsidRPr="00D613A6">
              <w:rPr>
                <w:b/>
                <w:color w:val="17365D"/>
                <w:sz w:val="20"/>
                <w:szCs w:val="20"/>
              </w:rPr>
              <w:t>14</w:t>
            </w:r>
            <w:r w:rsidRPr="00D613A6">
              <w:rPr>
                <w:b/>
                <w:color w:val="17365D"/>
                <w:sz w:val="20"/>
                <w:szCs w:val="20"/>
              </w:rPr>
              <w:t xml:space="preserve"> </w:t>
            </w:r>
            <w:r w:rsidR="00046B61" w:rsidRPr="00D613A6">
              <w:rPr>
                <w:b/>
                <w:color w:val="17365D"/>
                <w:sz w:val="20"/>
                <w:szCs w:val="20"/>
              </w:rPr>
              <w:t>582</w:t>
            </w:r>
            <w:r w:rsidRPr="00D613A6">
              <w:rPr>
                <w:b/>
                <w:color w:val="17365D"/>
                <w:sz w:val="20"/>
                <w:szCs w:val="20"/>
              </w:rPr>
              <w:t xml:space="preserve"> </w:t>
            </w:r>
            <w:r w:rsidR="00046B61" w:rsidRPr="00D613A6">
              <w:rPr>
                <w:b/>
                <w:color w:val="17365D"/>
                <w:sz w:val="20"/>
                <w:szCs w:val="20"/>
              </w:rPr>
              <w:t>260</w:t>
            </w:r>
          </w:p>
        </w:tc>
        <w:tc>
          <w:tcPr>
            <w:tcW w:w="1328" w:type="dxa"/>
            <w:tcBorders>
              <w:top w:val="single" w:sz="4" w:space="0" w:color="17365D"/>
              <w:left w:val="nil"/>
              <w:bottom w:val="single" w:sz="4" w:space="0" w:color="17365D"/>
              <w:right w:val="nil"/>
            </w:tcBorders>
            <w:shd w:val="clear" w:color="auto" w:fill="auto"/>
            <w:vAlign w:val="center"/>
          </w:tcPr>
          <w:p w14:paraId="2CD88262" w14:textId="370746C3"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4</w:t>
            </w:r>
            <w:r w:rsidR="00CB5917" w:rsidRPr="00D613A6">
              <w:rPr>
                <w:b/>
                <w:color w:val="17365D"/>
                <w:sz w:val="20"/>
                <w:szCs w:val="20"/>
              </w:rPr>
              <w:t>.8</w:t>
            </w:r>
            <w:r w:rsidR="00046B61" w:rsidRPr="00D613A6">
              <w:rPr>
                <w:b/>
                <w:color w:val="17365D"/>
                <w:sz w:val="20"/>
                <w:szCs w:val="20"/>
              </w:rPr>
              <w:t>7</w:t>
            </w:r>
          </w:p>
        </w:tc>
      </w:tr>
      <w:tr w:rsidR="00D613A6" w:rsidRPr="00D613A6" w14:paraId="4E9C2DCB" w14:textId="77777777" w:rsidTr="005123EA">
        <w:trPr>
          <w:trHeight w:val="285"/>
        </w:trPr>
        <w:tc>
          <w:tcPr>
            <w:tcW w:w="896" w:type="dxa"/>
            <w:tcBorders>
              <w:top w:val="single" w:sz="4" w:space="0" w:color="17365D"/>
              <w:bottom w:val="single" w:sz="4" w:space="0" w:color="17365D"/>
            </w:tcBorders>
            <w:shd w:val="clear" w:color="auto" w:fill="auto"/>
            <w:vAlign w:val="center"/>
          </w:tcPr>
          <w:p w14:paraId="00B0D2DD" w14:textId="5344D40E" w:rsidR="00CB5917" w:rsidRPr="00D613A6" w:rsidRDefault="00CB5917" w:rsidP="00CB5917">
            <w:pPr>
              <w:spacing w:before="40" w:after="40"/>
              <w:ind w:firstLine="0"/>
              <w:jc w:val="left"/>
              <w:rPr>
                <w:b/>
                <w:bCs/>
                <w:color w:val="17365D"/>
                <w:sz w:val="20"/>
                <w:szCs w:val="20"/>
              </w:rPr>
            </w:pPr>
            <w:r w:rsidRPr="00D613A6">
              <w:rPr>
                <w:b/>
                <w:bCs/>
                <w:color w:val="17365D"/>
                <w:sz w:val="20"/>
                <w:szCs w:val="20"/>
              </w:rPr>
              <w:lastRenderedPageBreak/>
              <w:t>1.0.</w:t>
            </w:r>
          </w:p>
        </w:tc>
        <w:tc>
          <w:tcPr>
            <w:tcW w:w="2565" w:type="dxa"/>
            <w:tcBorders>
              <w:top w:val="single" w:sz="4" w:space="0" w:color="17365D"/>
              <w:bottom w:val="single" w:sz="4" w:space="0" w:color="17365D"/>
            </w:tcBorders>
            <w:shd w:val="clear" w:color="auto" w:fill="auto"/>
            <w:vAlign w:val="center"/>
          </w:tcPr>
          <w:p w14:paraId="1A960FED" w14:textId="0EDDEB76" w:rsidR="00CB5917" w:rsidRPr="00D613A6" w:rsidRDefault="00CB5917" w:rsidP="00CB5917">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1F24DA86" w14:textId="026B24C8" w:rsidR="00CB5917" w:rsidRPr="00D613A6" w:rsidRDefault="00CB5917" w:rsidP="00046B61">
            <w:pPr>
              <w:pStyle w:val="Pamatteksts1"/>
              <w:spacing w:before="40" w:after="40"/>
              <w:ind w:firstLine="0"/>
              <w:jc w:val="right"/>
              <w:rPr>
                <w:b/>
                <w:color w:val="17365D"/>
                <w:sz w:val="20"/>
                <w:szCs w:val="20"/>
              </w:rPr>
            </w:pPr>
            <w:r w:rsidRPr="00D613A6">
              <w:rPr>
                <w:b/>
                <w:color w:val="17365D"/>
                <w:sz w:val="20"/>
                <w:szCs w:val="20"/>
              </w:rPr>
              <w:t xml:space="preserve">9 </w:t>
            </w:r>
            <w:r w:rsidR="00046B61" w:rsidRPr="00D613A6">
              <w:rPr>
                <w:b/>
                <w:color w:val="17365D"/>
                <w:sz w:val="20"/>
                <w:szCs w:val="20"/>
              </w:rPr>
              <w:t>914</w:t>
            </w:r>
            <w:r w:rsidRPr="00D613A6">
              <w:rPr>
                <w:b/>
                <w:color w:val="17365D"/>
                <w:sz w:val="20"/>
                <w:szCs w:val="20"/>
              </w:rPr>
              <w:t xml:space="preserve"> 3</w:t>
            </w:r>
            <w:r w:rsidR="00046B61" w:rsidRPr="00D613A6">
              <w:rPr>
                <w:b/>
                <w:color w:val="17365D"/>
                <w:sz w:val="20"/>
                <w:szCs w:val="20"/>
              </w:rPr>
              <w:t>58</w:t>
            </w:r>
            <w:r w:rsidRPr="00D613A6">
              <w:rPr>
                <w:b/>
                <w:color w:val="17365D"/>
                <w:sz w:val="20"/>
                <w:szCs w:val="20"/>
              </w:rPr>
              <w:t xml:space="preserve"> </w:t>
            </w:r>
            <w:r w:rsidR="00046B61" w:rsidRPr="00D613A6">
              <w:rPr>
                <w:b/>
                <w:color w:val="17365D"/>
                <w:sz w:val="20"/>
                <w:szCs w:val="20"/>
              </w:rPr>
              <w:t>627</w:t>
            </w:r>
          </w:p>
        </w:tc>
        <w:tc>
          <w:tcPr>
            <w:tcW w:w="1482" w:type="dxa"/>
            <w:tcBorders>
              <w:top w:val="single" w:sz="4" w:space="0" w:color="17365D"/>
              <w:left w:val="nil"/>
              <w:bottom w:val="single" w:sz="4" w:space="0" w:color="17365D"/>
              <w:right w:val="nil"/>
            </w:tcBorders>
            <w:shd w:val="clear" w:color="auto" w:fill="auto"/>
            <w:vAlign w:val="center"/>
          </w:tcPr>
          <w:p w14:paraId="63DFFFD9" w14:textId="3153A0AE"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9 556 349 216</w:t>
            </w:r>
          </w:p>
        </w:tc>
        <w:tc>
          <w:tcPr>
            <w:tcW w:w="1632" w:type="dxa"/>
            <w:tcBorders>
              <w:top w:val="single" w:sz="4" w:space="0" w:color="17365D"/>
              <w:left w:val="nil"/>
              <w:bottom w:val="single" w:sz="4" w:space="0" w:color="17365D"/>
              <w:right w:val="nil"/>
            </w:tcBorders>
            <w:shd w:val="clear" w:color="auto" w:fill="auto"/>
            <w:vAlign w:val="center"/>
          </w:tcPr>
          <w:p w14:paraId="23671860" w14:textId="73B6BAFD" w:rsidR="00CB5917" w:rsidRPr="00D613A6" w:rsidRDefault="00D676F7" w:rsidP="00D676F7">
            <w:pPr>
              <w:pStyle w:val="Pamatteksts1"/>
              <w:spacing w:before="40" w:after="40"/>
              <w:ind w:firstLine="0"/>
              <w:jc w:val="right"/>
              <w:rPr>
                <w:b/>
                <w:color w:val="17365D"/>
                <w:sz w:val="20"/>
                <w:szCs w:val="20"/>
              </w:rPr>
            </w:pPr>
            <w:r w:rsidRPr="00D613A6">
              <w:rPr>
                <w:b/>
                <w:color w:val="17365D"/>
                <w:sz w:val="20"/>
                <w:szCs w:val="20"/>
              </w:rPr>
              <w:t>3</w:t>
            </w:r>
            <w:r w:rsidR="00046B61" w:rsidRPr="00D613A6">
              <w:rPr>
                <w:b/>
                <w:color w:val="17365D"/>
                <w:sz w:val="20"/>
                <w:szCs w:val="20"/>
              </w:rPr>
              <w:t>58 00</w:t>
            </w:r>
            <w:r w:rsidRPr="00D613A6">
              <w:rPr>
                <w:b/>
                <w:color w:val="17365D"/>
                <w:sz w:val="20"/>
                <w:szCs w:val="20"/>
              </w:rPr>
              <w:t>9</w:t>
            </w:r>
            <w:r w:rsidR="00CB5917" w:rsidRPr="00D613A6">
              <w:rPr>
                <w:b/>
                <w:color w:val="17365D"/>
                <w:sz w:val="20"/>
                <w:szCs w:val="20"/>
              </w:rPr>
              <w:t xml:space="preserve"> </w:t>
            </w:r>
            <w:r w:rsidR="00046B61" w:rsidRPr="00D613A6">
              <w:rPr>
                <w:b/>
                <w:color w:val="17365D"/>
                <w:sz w:val="20"/>
                <w:szCs w:val="20"/>
              </w:rPr>
              <w:t>4</w:t>
            </w:r>
            <w:r w:rsidRPr="00D613A6">
              <w:rPr>
                <w:b/>
                <w:color w:val="17365D"/>
                <w:sz w:val="20"/>
                <w:szCs w:val="20"/>
              </w:rPr>
              <w:t>11</w:t>
            </w:r>
          </w:p>
        </w:tc>
        <w:tc>
          <w:tcPr>
            <w:tcW w:w="1328" w:type="dxa"/>
            <w:tcBorders>
              <w:top w:val="single" w:sz="4" w:space="0" w:color="17365D"/>
              <w:left w:val="nil"/>
              <w:bottom w:val="single" w:sz="4" w:space="0" w:color="17365D"/>
              <w:right w:val="nil"/>
            </w:tcBorders>
            <w:shd w:val="clear" w:color="auto" w:fill="auto"/>
            <w:vAlign w:val="center"/>
          </w:tcPr>
          <w:p w14:paraId="451EEDF8" w14:textId="4025A164"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3.7</w:t>
            </w:r>
            <w:r w:rsidR="00046B61" w:rsidRPr="00D613A6">
              <w:rPr>
                <w:b/>
                <w:color w:val="17365D"/>
                <w:sz w:val="20"/>
                <w:szCs w:val="20"/>
              </w:rPr>
              <w:t>5</w:t>
            </w:r>
          </w:p>
        </w:tc>
      </w:tr>
      <w:tr w:rsidR="00D613A6" w:rsidRPr="00D613A6" w14:paraId="36A05740" w14:textId="77777777" w:rsidTr="005123EA">
        <w:trPr>
          <w:trHeight w:val="285"/>
        </w:trPr>
        <w:tc>
          <w:tcPr>
            <w:tcW w:w="896" w:type="dxa"/>
            <w:tcBorders>
              <w:top w:val="single" w:sz="4" w:space="0" w:color="17365D"/>
              <w:bottom w:val="single" w:sz="4" w:space="0" w:color="17365D"/>
            </w:tcBorders>
            <w:shd w:val="clear" w:color="auto" w:fill="auto"/>
            <w:vAlign w:val="center"/>
          </w:tcPr>
          <w:p w14:paraId="58959166" w14:textId="3DC46658"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1.1.</w:t>
            </w:r>
          </w:p>
        </w:tc>
        <w:tc>
          <w:tcPr>
            <w:tcW w:w="2565" w:type="dxa"/>
            <w:tcBorders>
              <w:top w:val="single" w:sz="4" w:space="0" w:color="17365D"/>
              <w:bottom w:val="single" w:sz="4" w:space="0" w:color="17365D"/>
            </w:tcBorders>
            <w:shd w:val="clear" w:color="auto" w:fill="auto"/>
            <w:vAlign w:val="center"/>
          </w:tcPr>
          <w:p w14:paraId="7CF7C8EC" w14:textId="52B9389E"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auto" w:fill="auto"/>
            <w:vAlign w:val="center"/>
          </w:tcPr>
          <w:p w14:paraId="4477F016" w14:textId="434BB091"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3 009 023 569</w:t>
            </w:r>
          </w:p>
        </w:tc>
        <w:tc>
          <w:tcPr>
            <w:tcW w:w="1482" w:type="dxa"/>
            <w:tcBorders>
              <w:top w:val="single" w:sz="4" w:space="0" w:color="17365D"/>
              <w:left w:val="nil"/>
              <w:bottom w:val="single" w:sz="4" w:space="0" w:color="17365D"/>
              <w:right w:val="nil"/>
            </w:tcBorders>
            <w:shd w:val="clear" w:color="auto" w:fill="auto"/>
            <w:vAlign w:val="center"/>
          </w:tcPr>
          <w:p w14:paraId="4842583B" w14:textId="1723BDA8"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2 936 082 174</w:t>
            </w:r>
          </w:p>
        </w:tc>
        <w:tc>
          <w:tcPr>
            <w:tcW w:w="1632" w:type="dxa"/>
            <w:tcBorders>
              <w:top w:val="single" w:sz="4" w:space="0" w:color="17365D"/>
              <w:left w:val="nil"/>
              <w:bottom w:val="single" w:sz="4" w:space="0" w:color="17365D"/>
              <w:right w:val="nil"/>
            </w:tcBorders>
            <w:shd w:val="clear" w:color="auto" w:fill="auto"/>
            <w:vAlign w:val="center"/>
          </w:tcPr>
          <w:p w14:paraId="343F99EA" w14:textId="4EC83579"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72</w:t>
            </w:r>
            <w:r w:rsidR="00CB5917" w:rsidRPr="00D613A6">
              <w:rPr>
                <w:color w:val="17365D"/>
                <w:sz w:val="20"/>
                <w:szCs w:val="20"/>
              </w:rPr>
              <w:t xml:space="preserve"> </w:t>
            </w:r>
            <w:r w:rsidRPr="00D613A6">
              <w:rPr>
                <w:color w:val="17365D"/>
                <w:sz w:val="20"/>
                <w:szCs w:val="20"/>
              </w:rPr>
              <w:t>941</w:t>
            </w:r>
            <w:r w:rsidR="00CB5917" w:rsidRPr="00D613A6">
              <w:rPr>
                <w:color w:val="17365D"/>
                <w:sz w:val="20"/>
                <w:szCs w:val="20"/>
              </w:rPr>
              <w:t xml:space="preserve"> </w:t>
            </w:r>
            <w:r w:rsidRPr="00D613A6">
              <w:rPr>
                <w:color w:val="17365D"/>
                <w:sz w:val="20"/>
                <w:szCs w:val="20"/>
              </w:rPr>
              <w:t>395</w:t>
            </w:r>
          </w:p>
        </w:tc>
        <w:tc>
          <w:tcPr>
            <w:tcW w:w="1328" w:type="dxa"/>
            <w:tcBorders>
              <w:top w:val="single" w:sz="4" w:space="0" w:color="17365D"/>
              <w:left w:val="nil"/>
              <w:bottom w:val="single" w:sz="4" w:space="0" w:color="17365D"/>
              <w:right w:val="nil"/>
            </w:tcBorders>
            <w:shd w:val="clear" w:color="auto" w:fill="auto"/>
            <w:vAlign w:val="center"/>
          </w:tcPr>
          <w:p w14:paraId="07006E9E" w14:textId="71E1268B"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2.48</w:t>
            </w:r>
          </w:p>
        </w:tc>
      </w:tr>
      <w:tr w:rsidR="00D613A6" w:rsidRPr="00D613A6" w14:paraId="4D4F0155" w14:textId="77777777" w:rsidTr="005123EA">
        <w:trPr>
          <w:trHeight w:val="285"/>
        </w:trPr>
        <w:tc>
          <w:tcPr>
            <w:tcW w:w="896" w:type="dxa"/>
            <w:tcBorders>
              <w:top w:val="single" w:sz="4" w:space="0" w:color="17365D"/>
              <w:bottom w:val="single" w:sz="4" w:space="0" w:color="17365D"/>
            </w:tcBorders>
            <w:shd w:val="clear" w:color="auto" w:fill="auto"/>
            <w:vAlign w:val="center"/>
          </w:tcPr>
          <w:p w14:paraId="40400067" w14:textId="7D78E2D8"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1.2.</w:t>
            </w:r>
          </w:p>
        </w:tc>
        <w:tc>
          <w:tcPr>
            <w:tcW w:w="2565" w:type="dxa"/>
            <w:tcBorders>
              <w:top w:val="single" w:sz="4" w:space="0" w:color="17365D"/>
              <w:bottom w:val="single" w:sz="4" w:space="0" w:color="17365D"/>
            </w:tcBorders>
            <w:shd w:val="clear" w:color="auto" w:fill="auto"/>
            <w:vAlign w:val="center"/>
          </w:tcPr>
          <w:p w14:paraId="725C3433" w14:textId="5F7FDDEE" w:rsidR="00CB5917" w:rsidRPr="00D613A6" w:rsidRDefault="00CB5917" w:rsidP="00CB5917">
            <w:pPr>
              <w:pStyle w:val="Pamatteksts1"/>
              <w:spacing w:before="40" w:after="40"/>
              <w:ind w:firstLine="0"/>
              <w:jc w:val="left"/>
              <w:rPr>
                <w:bCs/>
                <w:color w:val="17365D"/>
                <w:sz w:val="20"/>
                <w:szCs w:val="20"/>
              </w:rPr>
            </w:pPr>
            <w:r w:rsidRPr="00D613A6">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auto" w:fill="auto"/>
            <w:vAlign w:val="center"/>
          </w:tcPr>
          <w:p w14:paraId="05DB10C9" w14:textId="1D0262D6"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348 </w:t>
            </w:r>
            <w:r w:rsidR="00046B61" w:rsidRPr="00D613A6">
              <w:rPr>
                <w:color w:val="17365D"/>
                <w:sz w:val="20"/>
                <w:szCs w:val="20"/>
              </w:rPr>
              <w:t>470</w:t>
            </w:r>
            <w:r w:rsidRPr="00D613A6">
              <w:rPr>
                <w:color w:val="17365D"/>
                <w:sz w:val="20"/>
                <w:szCs w:val="20"/>
              </w:rPr>
              <w:t xml:space="preserve"> </w:t>
            </w:r>
            <w:r w:rsidR="00046B61" w:rsidRPr="00D613A6">
              <w:rPr>
                <w:color w:val="17365D"/>
                <w:sz w:val="20"/>
                <w:szCs w:val="20"/>
              </w:rPr>
              <w:t>173</w:t>
            </w:r>
          </w:p>
        </w:tc>
        <w:tc>
          <w:tcPr>
            <w:tcW w:w="1482" w:type="dxa"/>
            <w:tcBorders>
              <w:top w:val="single" w:sz="4" w:space="0" w:color="17365D"/>
              <w:left w:val="nil"/>
              <w:bottom w:val="single" w:sz="4" w:space="0" w:color="17365D"/>
              <w:right w:val="nil"/>
            </w:tcBorders>
            <w:shd w:val="clear" w:color="auto" w:fill="auto"/>
            <w:vAlign w:val="center"/>
          </w:tcPr>
          <w:p w14:paraId="401FAEC9" w14:textId="28E60473"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195 801 581</w:t>
            </w:r>
          </w:p>
        </w:tc>
        <w:tc>
          <w:tcPr>
            <w:tcW w:w="1632" w:type="dxa"/>
            <w:tcBorders>
              <w:top w:val="single" w:sz="4" w:space="0" w:color="17365D"/>
              <w:left w:val="nil"/>
              <w:bottom w:val="single" w:sz="4" w:space="0" w:color="17365D"/>
              <w:right w:val="nil"/>
            </w:tcBorders>
            <w:shd w:val="clear" w:color="auto" w:fill="auto"/>
            <w:vAlign w:val="center"/>
          </w:tcPr>
          <w:p w14:paraId="1A811E9A" w14:textId="4F67B347"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152</w:t>
            </w:r>
            <w:r w:rsidR="00CB5917" w:rsidRPr="00D613A6">
              <w:rPr>
                <w:color w:val="17365D"/>
                <w:sz w:val="20"/>
                <w:szCs w:val="20"/>
              </w:rPr>
              <w:t xml:space="preserve"> </w:t>
            </w:r>
            <w:r w:rsidR="00046B61" w:rsidRPr="00D613A6">
              <w:rPr>
                <w:color w:val="17365D"/>
                <w:sz w:val="20"/>
                <w:szCs w:val="20"/>
              </w:rPr>
              <w:t>668</w:t>
            </w:r>
            <w:r w:rsidR="00CB5917" w:rsidRPr="00D613A6">
              <w:rPr>
                <w:color w:val="17365D"/>
                <w:sz w:val="20"/>
                <w:szCs w:val="20"/>
              </w:rPr>
              <w:t xml:space="preserve"> </w:t>
            </w:r>
            <w:r w:rsidR="00046B61" w:rsidRPr="00D613A6">
              <w:rPr>
                <w:color w:val="17365D"/>
                <w:sz w:val="20"/>
                <w:szCs w:val="20"/>
              </w:rPr>
              <w:t>592</w:t>
            </w:r>
          </w:p>
        </w:tc>
        <w:tc>
          <w:tcPr>
            <w:tcW w:w="1328" w:type="dxa"/>
            <w:tcBorders>
              <w:top w:val="single" w:sz="4" w:space="0" w:color="17365D"/>
              <w:left w:val="nil"/>
              <w:bottom w:val="single" w:sz="4" w:space="0" w:color="17365D"/>
              <w:right w:val="nil"/>
            </w:tcBorders>
            <w:shd w:val="clear" w:color="auto" w:fill="auto"/>
            <w:vAlign w:val="center"/>
          </w:tcPr>
          <w:p w14:paraId="667FBBA8" w14:textId="2F89D2DF"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77</w:t>
            </w:r>
            <w:r w:rsidR="00CB5917" w:rsidRPr="00D613A6">
              <w:rPr>
                <w:color w:val="17365D"/>
                <w:sz w:val="20"/>
                <w:szCs w:val="20"/>
              </w:rPr>
              <w:t>.</w:t>
            </w:r>
            <w:r w:rsidR="00046B61" w:rsidRPr="00D613A6">
              <w:rPr>
                <w:color w:val="17365D"/>
                <w:sz w:val="20"/>
                <w:szCs w:val="20"/>
              </w:rPr>
              <w:t>97</w:t>
            </w:r>
          </w:p>
        </w:tc>
      </w:tr>
      <w:tr w:rsidR="00D613A6" w:rsidRPr="00D613A6" w14:paraId="53047F9C" w14:textId="77777777" w:rsidTr="005123EA">
        <w:trPr>
          <w:trHeight w:val="285"/>
        </w:trPr>
        <w:tc>
          <w:tcPr>
            <w:tcW w:w="896" w:type="dxa"/>
            <w:tcBorders>
              <w:top w:val="single" w:sz="4" w:space="0" w:color="17365D"/>
              <w:bottom w:val="single" w:sz="4" w:space="0" w:color="17365D"/>
            </w:tcBorders>
            <w:shd w:val="clear" w:color="auto" w:fill="auto"/>
            <w:vAlign w:val="center"/>
          </w:tcPr>
          <w:p w14:paraId="6AF309E5" w14:textId="775C4122"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1.3.</w:t>
            </w:r>
          </w:p>
        </w:tc>
        <w:tc>
          <w:tcPr>
            <w:tcW w:w="2565" w:type="dxa"/>
            <w:tcBorders>
              <w:top w:val="single" w:sz="4" w:space="0" w:color="17365D"/>
              <w:bottom w:val="single" w:sz="4" w:space="0" w:color="17365D"/>
            </w:tcBorders>
            <w:shd w:val="clear" w:color="auto" w:fill="auto"/>
            <w:vAlign w:val="center"/>
          </w:tcPr>
          <w:p w14:paraId="08CF853D" w14:textId="67FD2BAB"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 xml:space="preserve">Subsīdijas, dotācijas </w:t>
            </w:r>
            <w:r w:rsidR="00046B61" w:rsidRPr="00D613A6">
              <w:rPr>
                <w:bCs/>
                <w:color w:val="17365D"/>
                <w:sz w:val="20"/>
                <w:szCs w:val="20"/>
              </w:rPr>
              <w:t>un sociāla rakstura maksājumi un kompensācijas</w:t>
            </w:r>
          </w:p>
        </w:tc>
        <w:tc>
          <w:tcPr>
            <w:tcW w:w="1482" w:type="dxa"/>
            <w:tcBorders>
              <w:top w:val="single" w:sz="4" w:space="0" w:color="17365D"/>
              <w:left w:val="nil"/>
              <w:bottom w:val="single" w:sz="4" w:space="0" w:color="17365D"/>
              <w:right w:val="nil"/>
            </w:tcBorders>
            <w:shd w:val="clear" w:color="auto" w:fill="auto"/>
            <w:vAlign w:val="center"/>
          </w:tcPr>
          <w:p w14:paraId="4A4228EC" w14:textId="4D24D1A1"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4 </w:t>
            </w:r>
            <w:r w:rsidR="00046B61" w:rsidRPr="00D613A6">
              <w:rPr>
                <w:color w:val="17365D"/>
                <w:sz w:val="20"/>
                <w:szCs w:val="20"/>
              </w:rPr>
              <w:t>446</w:t>
            </w:r>
            <w:r w:rsidRPr="00D613A6">
              <w:rPr>
                <w:color w:val="17365D"/>
                <w:sz w:val="20"/>
                <w:szCs w:val="20"/>
              </w:rPr>
              <w:t xml:space="preserve"> </w:t>
            </w:r>
            <w:r w:rsidR="00046B61" w:rsidRPr="00D613A6">
              <w:rPr>
                <w:color w:val="17365D"/>
                <w:sz w:val="20"/>
                <w:szCs w:val="20"/>
              </w:rPr>
              <w:t>80</w:t>
            </w:r>
            <w:r w:rsidRPr="00D613A6">
              <w:rPr>
                <w:color w:val="17365D"/>
                <w:sz w:val="20"/>
                <w:szCs w:val="20"/>
              </w:rPr>
              <w:t xml:space="preserve">6 </w:t>
            </w:r>
            <w:r w:rsidR="00046B61" w:rsidRPr="00D613A6">
              <w:rPr>
                <w:color w:val="17365D"/>
                <w:sz w:val="20"/>
                <w:szCs w:val="20"/>
              </w:rPr>
              <w:t>295</w:t>
            </w:r>
          </w:p>
        </w:tc>
        <w:tc>
          <w:tcPr>
            <w:tcW w:w="1482" w:type="dxa"/>
            <w:tcBorders>
              <w:top w:val="single" w:sz="4" w:space="0" w:color="17365D"/>
              <w:left w:val="nil"/>
              <w:bottom w:val="single" w:sz="4" w:space="0" w:color="17365D"/>
              <w:right w:val="nil"/>
            </w:tcBorders>
            <w:shd w:val="clear" w:color="auto" w:fill="auto"/>
            <w:vAlign w:val="center"/>
          </w:tcPr>
          <w:p w14:paraId="6728B30F" w14:textId="54AF103A"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4 398 977 246</w:t>
            </w:r>
          </w:p>
        </w:tc>
        <w:tc>
          <w:tcPr>
            <w:tcW w:w="1632" w:type="dxa"/>
            <w:tcBorders>
              <w:top w:val="single" w:sz="4" w:space="0" w:color="17365D"/>
              <w:left w:val="nil"/>
              <w:bottom w:val="single" w:sz="4" w:space="0" w:color="17365D"/>
              <w:right w:val="nil"/>
            </w:tcBorders>
            <w:shd w:val="clear" w:color="auto" w:fill="auto"/>
            <w:vAlign w:val="center"/>
          </w:tcPr>
          <w:p w14:paraId="1F6A31AD" w14:textId="6E36D107" w:rsidR="00CB5917" w:rsidRPr="00D613A6" w:rsidRDefault="00046B61" w:rsidP="00046B61">
            <w:pPr>
              <w:pStyle w:val="Pamatteksts1"/>
              <w:spacing w:before="40" w:after="40"/>
              <w:ind w:firstLine="0"/>
              <w:jc w:val="right"/>
              <w:rPr>
                <w:color w:val="17365D"/>
                <w:sz w:val="20"/>
                <w:szCs w:val="20"/>
              </w:rPr>
            </w:pPr>
            <w:r w:rsidRPr="00D613A6">
              <w:rPr>
                <w:color w:val="17365D"/>
                <w:sz w:val="20"/>
                <w:szCs w:val="20"/>
              </w:rPr>
              <w:t>47</w:t>
            </w:r>
            <w:r w:rsidR="00CB5917" w:rsidRPr="00D613A6">
              <w:rPr>
                <w:color w:val="17365D"/>
                <w:sz w:val="20"/>
                <w:szCs w:val="20"/>
              </w:rPr>
              <w:t xml:space="preserve"> </w:t>
            </w:r>
            <w:r w:rsidRPr="00D613A6">
              <w:rPr>
                <w:color w:val="17365D"/>
                <w:sz w:val="20"/>
                <w:szCs w:val="20"/>
              </w:rPr>
              <w:t>829</w:t>
            </w:r>
            <w:r w:rsidR="00CB5917" w:rsidRPr="00D613A6">
              <w:rPr>
                <w:color w:val="17365D"/>
                <w:sz w:val="20"/>
                <w:szCs w:val="20"/>
              </w:rPr>
              <w:t xml:space="preserve"> </w:t>
            </w:r>
            <w:r w:rsidRPr="00D613A6">
              <w:rPr>
                <w:color w:val="17365D"/>
                <w:sz w:val="20"/>
                <w:szCs w:val="20"/>
              </w:rPr>
              <w:t>049</w:t>
            </w:r>
          </w:p>
        </w:tc>
        <w:tc>
          <w:tcPr>
            <w:tcW w:w="1328" w:type="dxa"/>
            <w:tcBorders>
              <w:top w:val="single" w:sz="4" w:space="0" w:color="17365D"/>
              <w:left w:val="nil"/>
              <w:bottom w:val="single" w:sz="4" w:space="0" w:color="17365D"/>
              <w:right w:val="nil"/>
            </w:tcBorders>
            <w:shd w:val="clear" w:color="auto" w:fill="auto"/>
            <w:vAlign w:val="center"/>
          </w:tcPr>
          <w:p w14:paraId="48006A8D" w14:textId="71962921"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1</w:t>
            </w:r>
            <w:r w:rsidR="00046B61" w:rsidRPr="00D613A6">
              <w:rPr>
                <w:color w:val="17365D"/>
                <w:sz w:val="20"/>
                <w:szCs w:val="20"/>
              </w:rPr>
              <w:t>.09</w:t>
            </w:r>
          </w:p>
        </w:tc>
      </w:tr>
      <w:tr w:rsidR="00D613A6" w:rsidRPr="00D613A6" w14:paraId="5B86E4CF" w14:textId="77777777" w:rsidTr="005123EA">
        <w:trPr>
          <w:trHeight w:val="285"/>
        </w:trPr>
        <w:tc>
          <w:tcPr>
            <w:tcW w:w="896" w:type="dxa"/>
            <w:tcBorders>
              <w:top w:val="single" w:sz="4" w:space="0" w:color="17365D"/>
              <w:bottom w:val="single" w:sz="4" w:space="0" w:color="17365D"/>
            </w:tcBorders>
            <w:shd w:val="clear" w:color="auto" w:fill="auto"/>
            <w:vAlign w:val="center"/>
          </w:tcPr>
          <w:p w14:paraId="6EA05C16" w14:textId="51C476F1"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7000</w:t>
            </w:r>
          </w:p>
        </w:tc>
        <w:tc>
          <w:tcPr>
            <w:tcW w:w="2565" w:type="dxa"/>
            <w:tcBorders>
              <w:top w:val="single" w:sz="4" w:space="0" w:color="17365D"/>
              <w:bottom w:val="single" w:sz="4" w:space="0" w:color="17365D"/>
            </w:tcBorders>
            <w:shd w:val="clear" w:color="auto" w:fill="auto"/>
            <w:vAlign w:val="center"/>
          </w:tcPr>
          <w:p w14:paraId="18F99EB9" w14:textId="4CB8C780"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Transferti, uzturēšanas izdevumu transferti, pašu resursu maksājumi,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2116C987" w14:textId="781D383F"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2 </w:t>
            </w:r>
            <w:r w:rsidR="00046B61" w:rsidRPr="00D613A6">
              <w:rPr>
                <w:color w:val="17365D"/>
                <w:sz w:val="20"/>
                <w:szCs w:val="20"/>
              </w:rPr>
              <w:t>110</w:t>
            </w:r>
            <w:r w:rsidRPr="00D613A6">
              <w:rPr>
                <w:color w:val="17365D"/>
                <w:sz w:val="20"/>
                <w:szCs w:val="20"/>
              </w:rPr>
              <w:t xml:space="preserve"> </w:t>
            </w:r>
            <w:r w:rsidR="00046B61" w:rsidRPr="00D613A6">
              <w:rPr>
                <w:color w:val="17365D"/>
                <w:sz w:val="20"/>
                <w:szCs w:val="20"/>
              </w:rPr>
              <w:t>058</w:t>
            </w:r>
            <w:r w:rsidRPr="00D613A6">
              <w:rPr>
                <w:color w:val="17365D"/>
                <w:sz w:val="20"/>
                <w:szCs w:val="20"/>
              </w:rPr>
              <w:t xml:space="preserve"> </w:t>
            </w:r>
            <w:r w:rsidR="00046B61" w:rsidRPr="00D613A6">
              <w:rPr>
                <w:color w:val="17365D"/>
                <w:sz w:val="20"/>
                <w:szCs w:val="20"/>
              </w:rPr>
              <w:t>590</w:t>
            </w:r>
          </w:p>
        </w:tc>
        <w:tc>
          <w:tcPr>
            <w:tcW w:w="1482" w:type="dxa"/>
            <w:tcBorders>
              <w:top w:val="single" w:sz="4" w:space="0" w:color="17365D"/>
              <w:left w:val="nil"/>
              <w:bottom w:val="single" w:sz="4" w:space="0" w:color="17365D"/>
              <w:right w:val="nil"/>
            </w:tcBorders>
            <w:shd w:val="clear" w:color="auto" w:fill="auto"/>
            <w:vAlign w:val="center"/>
          </w:tcPr>
          <w:p w14:paraId="023E1444" w14:textId="5140E8A0"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2 025 488 215</w:t>
            </w:r>
          </w:p>
        </w:tc>
        <w:tc>
          <w:tcPr>
            <w:tcW w:w="1632" w:type="dxa"/>
            <w:tcBorders>
              <w:top w:val="single" w:sz="4" w:space="0" w:color="17365D"/>
              <w:left w:val="nil"/>
              <w:bottom w:val="single" w:sz="4" w:space="0" w:color="17365D"/>
              <w:right w:val="nil"/>
            </w:tcBorders>
            <w:shd w:val="clear" w:color="auto" w:fill="auto"/>
            <w:vAlign w:val="center"/>
          </w:tcPr>
          <w:p w14:paraId="229C2E7A" w14:textId="55DC4D34"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84</w:t>
            </w:r>
            <w:r w:rsidR="00CB5917" w:rsidRPr="00D613A6">
              <w:rPr>
                <w:color w:val="17365D"/>
                <w:sz w:val="20"/>
                <w:szCs w:val="20"/>
              </w:rPr>
              <w:t xml:space="preserve"> </w:t>
            </w:r>
            <w:r w:rsidRPr="00D613A6">
              <w:rPr>
                <w:color w:val="17365D"/>
                <w:sz w:val="20"/>
                <w:szCs w:val="20"/>
              </w:rPr>
              <w:t>5</w:t>
            </w:r>
            <w:r w:rsidR="00046B61" w:rsidRPr="00D613A6">
              <w:rPr>
                <w:color w:val="17365D"/>
                <w:sz w:val="20"/>
                <w:szCs w:val="20"/>
              </w:rPr>
              <w:t>70</w:t>
            </w:r>
            <w:r w:rsidR="00CB5917" w:rsidRPr="00D613A6">
              <w:rPr>
                <w:color w:val="17365D"/>
                <w:sz w:val="20"/>
                <w:szCs w:val="20"/>
              </w:rPr>
              <w:t xml:space="preserve"> </w:t>
            </w:r>
            <w:r w:rsidR="00046B61" w:rsidRPr="00D613A6">
              <w:rPr>
                <w:color w:val="17365D"/>
                <w:sz w:val="20"/>
                <w:szCs w:val="20"/>
              </w:rPr>
              <w:t>375</w:t>
            </w:r>
          </w:p>
        </w:tc>
        <w:tc>
          <w:tcPr>
            <w:tcW w:w="1328" w:type="dxa"/>
            <w:tcBorders>
              <w:top w:val="single" w:sz="4" w:space="0" w:color="17365D"/>
              <w:left w:val="nil"/>
              <w:bottom w:val="single" w:sz="4" w:space="0" w:color="17365D"/>
              <w:right w:val="nil"/>
            </w:tcBorders>
            <w:shd w:val="clear" w:color="auto" w:fill="auto"/>
            <w:vAlign w:val="center"/>
          </w:tcPr>
          <w:p w14:paraId="5CAFB385" w14:textId="61BD6EC2"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4</w:t>
            </w:r>
            <w:r w:rsidR="00CB5917" w:rsidRPr="00D613A6">
              <w:rPr>
                <w:color w:val="17365D"/>
                <w:sz w:val="20"/>
                <w:szCs w:val="20"/>
              </w:rPr>
              <w:t>.</w:t>
            </w:r>
            <w:r w:rsidRPr="00D613A6">
              <w:rPr>
                <w:color w:val="17365D"/>
                <w:sz w:val="20"/>
                <w:szCs w:val="20"/>
              </w:rPr>
              <w:t>1</w:t>
            </w:r>
            <w:r w:rsidR="00046B61" w:rsidRPr="00D613A6">
              <w:rPr>
                <w:color w:val="17365D"/>
                <w:sz w:val="20"/>
                <w:szCs w:val="20"/>
              </w:rPr>
              <w:t>8</w:t>
            </w:r>
          </w:p>
        </w:tc>
      </w:tr>
      <w:tr w:rsidR="00D613A6" w:rsidRPr="00D613A6" w14:paraId="11CB109B" w14:textId="77777777" w:rsidTr="005123EA">
        <w:trPr>
          <w:trHeight w:val="285"/>
        </w:trPr>
        <w:tc>
          <w:tcPr>
            <w:tcW w:w="896" w:type="dxa"/>
            <w:tcBorders>
              <w:top w:val="single" w:sz="4" w:space="0" w:color="17365D"/>
              <w:bottom w:val="single" w:sz="4" w:space="0" w:color="17365D"/>
            </w:tcBorders>
            <w:shd w:val="clear" w:color="auto" w:fill="auto"/>
            <w:vAlign w:val="center"/>
          </w:tcPr>
          <w:p w14:paraId="6104BDD4" w14:textId="3B54831E"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1.4.</w:t>
            </w:r>
          </w:p>
        </w:tc>
        <w:tc>
          <w:tcPr>
            <w:tcW w:w="2565" w:type="dxa"/>
            <w:tcBorders>
              <w:top w:val="single" w:sz="4" w:space="0" w:color="17365D"/>
              <w:bottom w:val="single" w:sz="4" w:space="0" w:color="17365D"/>
            </w:tcBorders>
            <w:shd w:val="clear" w:color="auto" w:fill="auto"/>
            <w:vAlign w:val="center"/>
          </w:tcPr>
          <w:p w14:paraId="0DF345AF" w14:textId="6DEA3A4E"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49ECA4FF" w14:textId="6AAE7C69"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445 034 490</w:t>
            </w:r>
          </w:p>
        </w:tc>
        <w:tc>
          <w:tcPr>
            <w:tcW w:w="1482" w:type="dxa"/>
            <w:tcBorders>
              <w:top w:val="single" w:sz="4" w:space="0" w:color="17365D"/>
              <w:left w:val="nil"/>
              <w:bottom w:val="single" w:sz="4" w:space="0" w:color="17365D"/>
              <w:right w:val="nil"/>
            </w:tcBorders>
            <w:shd w:val="clear" w:color="auto" w:fill="auto"/>
            <w:vAlign w:val="center"/>
          </w:tcPr>
          <w:p w14:paraId="1682AFCB" w14:textId="3FA3D313"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477 103 939</w:t>
            </w:r>
          </w:p>
        </w:tc>
        <w:tc>
          <w:tcPr>
            <w:tcW w:w="1632" w:type="dxa"/>
            <w:tcBorders>
              <w:top w:val="single" w:sz="4" w:space="0" w:color="17365D"/>
              <w:left w:val="nil"/>
              <w:bottom w:val="single" w:sz="4" w:space="0" w:color="17365D"/>
              <w:right w:val="nil"/>
            </w:tcBorders>
            <w:shd w:val="clear" w:color="auto" w:fill="auto"/>
            <w:vAlign w:val="center"/>
          </w:tcPr>
          <w:p w14:paraId="2E9EBA77" w14:textId="28311CEA"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-32</w:t>
            </w:r>
            <w:r w:rsidR="00CB5917" w:rsidRPr="00D613A6">
              <w:rPr>
                <w:color w:val="17365D"/>
                <w:sz w:val="20"/>
                <w:szCs w:val="20"/>
              </w:rPr>
              <w:t xml:space="preserve"> </w:t>
            </w:r>
            <w:r w:rsidRPr="00D613A6">
              <w:rPr>
                <w:color w:val="17365D"/>
                <w:sz w:val="20"/>
                <w:szCs w:val="20"/>
              </w:rPr>
              <w:t>069</w:t>
            </w:r>
            <w:r w:rsidR="00CB5917" w:rsidRPr="00D613A6">
              <w:rPr>
                <w:color w:val="17365D"/>
                <w:sz w:val="20"/>
                <w:szCs w:val="20"/>
              </w:rPr>
              <w:t xml:space="preserve"> </w:t>
            </w:r>
            <w:r w:rsidRPr="00D613A6">
              <w:rPr>
                <w:color w:val="17365D"/>
                <w:sz w:val="20"/>
                <w:szCs w:val="20"/>
              </w:rPr>
              <w:t>449</w:t>
            </w:r>
          </w:p>
        </w:tc>
        <w:tc>
          <w:tcPr>
            <w:tcW w:w="1328" w:type="dxa"/>
            <w:tcBorders>
              <w:top w:val="single" w:sz="4" w:space="0" w:color="17365D"/>
              <w:left w:val="nil"/>
              <w:bottom w:val="single" w:sz="4" w:space="0" w:color="17365D"/>
              <w:right w:val="nil"/>
            </w:tcBorders>
            <w:shd w:val="clear" w:color="auto" w:fill="auto"/>
            <w:vAlign w:val="center"/>
          </w:tcPr>
          <w:p w14:paraId="1A643828" w14:textId="10979C4C"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-6</w:t>
            </w:r>
            <w:r w:rsidR="00CB5917" w:rsidRPr="00D613A6">
              <w:rPr>
                <w:color w:val="17365D"/>
                <w:sz w:val="20"/>
                <w:szCs w:val="20"/>
              </w:rPr>
              <w:t>.</w:t>
            </w:r>
            <w:r w:rsidRPr="00D613A6">
              <w:rPr>
                <w:color w:val="17365D"/>
                <w:sz w:val="20"/>
                <w:szCs w:val="20"/>
              </w:rPr>
              <w:t>72</w:t>
            </w:r>
          </w:p>
        </w:tc>
      </w:tr>
      <w:tr w:rsidR="00D613A6" w:rsidRPr="00D613A6" w14:paraId="2157B17E" w14:textId="77777777" w:rsidTr="005123EA">
        <w:trPr>
          <w:trHeight w:val="285"/>
        </w:trPr>
        <w:tc>
          <w:tcPr>
            <w:tcW w:w="896" w:type="dxa"/>
            <w:tcBorders>
              <w:top w:val="single" w:sz="4" w:space="0" w:color="17365D"/>
              <w:bottom w:val="single" w:sz="4" w:space="0" w:color="17365D"/>
            </w:tcBorders>
            <w:shd w:val="clear" w:color="auto" w:fill="auto"/>
            <w:vAlign w:val="center"/>
          </w:tcPr>
          <w:p w14:paraId="3648B505" w14:textId="76F9D740"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1.5.</w:t>
            </w:r>
          </w:p>
        </w:tc>
        <w:tc>
          <w:tcPr>
            <w:tcW w:w="2565" w:type="dxa"/>
            <w:tcBorders>
              <w:top w:val="single" w:sz="4" w:space="0" w:color="17365D"/>
              <w:bottom w:val="single" w:sz="4" w:space="0" w:color="17365D"/>
            </w:tcBorders>
            <w:shd w:val="clear" w:color="auto" w:fill="auto"/>
            <w:vAlign w:val="center"/>
          </w:tcPr>
          <w:p w14:paraId="1E5548D3" w14:textId="09DA19FB"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Transferti viena budžeta veida ietvaros un uzturēšanas izdevumu transferti starp budžeta veidiem</w:t>
            </w:r>
          </w:p>
        </w:tc>
        <w:tc>
          <w:tcPr>
            <w:tcW w:w="1482" w:type="dxa"/>
            <w:tcBorders>
              <w:top w:val="single" w:sz="4" w:space="0" w:color="17365D"/>
              <w:left w:val="nil"/>
              <w:bottom w:val="single" w:sz="4" w:space="0" w:color="17365D"/>
              <w:right w:val="nil"/>
            </w:tcBorders>
            <w:shd w:val="clear" w:color="auto" w:fill="auto"/>
            <w:vAlign w:val="center"/>
          </w:tcPr>
          <w:p w14:paraId="2430B0A0" w14:textId="17169B81"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1 </w:t>
            </w:r>
            <w:r w:rsidR="00046B61" w:rsidRPr="00D613A6">
              <w:rPr>
                <w:color w:val="17365D"/>
                <w:sz w:val="20"/>
                <w:szCs w:val="20"/>
              </w:rPr>
              <w:t>665</w:t>
            </w:r>
            <w:r w:rsidRPr="00D613A6">
              <w:rPr>
                <w:color w:val="17365D"/>
                <w:sz w:val="20"/>
                <w:szCs w:val="20"/>
              </w:rPr>
              <w:t xml:space="preserve"> </w:t>
            </w:r>
            <w:r w:rsidR="00046B61" w:rsidRPr="00D613A6">
              <w:rPr>
                <w:color w:val="17365D"/>
                <w:sz w:val="20"/>
                <w:szCs w:val="20"/>
              </w:rPr>
              <w:t>024</w:t>
            </w:r>
            <w:r w:rsidRPr="00D613A6">
              <w:rPr>
                <w:color w:val="17365D"/>
                <w:sz w:val="20"/>
                <w:szCs w:val="20"/>
              </w:rPr>
              <w:t xml:space="preserve"> </w:t>
            </w:r>
            <w:r w:rsidR="00046B61" w:rsidRPr="00D613A6">
              <w:rPr>
                <w:color w:val="17365D"/>
                <w:sz w:val="20"/>
                <w:szCs w:val="20"/>
              </w:rPr>
              <w:t>100</w:t>
            </w:r>
          </w:p>
        </w:tc>
        <w:tc>
          <w:tcPr>
            <w:tcW w:w="1482" w:type="dxa"/>
            <w:tcBorders>
              <w:top w:val="single" w:sz="4" w:space="0" w:color="17365D"/>
              <w:left w:val="nil"/>
              <w:bottom w:val="single" w:sz="4" w:space="0" w:color="17365D"/>
              <w:right w:val="nil"/>
            </w:tcBorders>
            <w:shd w:val="clear" w:color="auto" w:fill="auto"/>
            <w:vAlign w:val="center"/>
          </w:tcPr>
          <w:p w14:paraId="7AF4B008" w14:textId="195ABA99"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1 548 384 276</w:t>
            </w:r>
          </w:p>
        </w:tc>
        <w:tc>
          <w:tcPr>
            <w:tcW w:w="1632" w:type="dxa"/>
            <w:tcBorders>
              <w:top w:val="single" w:sz="4" w:space="0" w:color="17365D"/>
              <w:left w:val="nil"/>
              <w:bottom w:val="single" w:sz="4" w:space="0" w:color="17365D"/>
              <w:right w:val="nil"/>
            </w:tcBorders>
            <w:shd w:val="clear" w:color="auto" w:fill="auto"/>
            <w:vAlign w:val="center"/>
          </w:tcPr>
          <w:p w14:paraId="18120ECE" w14:textId="3FA06113"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116</w:t>
            </w:r>
            <w:r w:rsidR="00CB5917" w:rsidRPr="00D613A6">
              <w:rPr>
                <w:color w:val="17365D"/>
                <w:sz w:val="20"/>
                <w:szCs w:val="20"/>
              </w:rPr>
              <w:t xml:space="preserve"> </w:t>
            </w:r>
            <w:r w:rsidR="00046B61" w:rsidRPr="00D613A6">
              <w:rPr>
                <w:color w:val="17365D"/>
                <w:sz w:val="20"/>
                <w:szCs w:val="20"/>
              </w:rPr>
              <w:t>639</w:t>
            </w:r>
            <w:r w:rsidR="00CB5917" w:rsidRPr="00D613A6">
              <w:rPr>
                <w:color w:val="17365D"/>
                <w:sz w:val="20"/>
                <w:szCs w:val="20"/>
              </w:rPr>
              <w:t xml:space="preserve"> </w:t>
            </w:r>
            <w:r w:rsidR="00046B61" w:rsidRPr="00D613A6">
              <w:rPr>
                <w:color w:val="17365D"/>
                <w:sz w:val="20"/>
                <w:szCs w:val="20"/>
              </w:rPr>
              <w:t>824</w:t>
            </w:r>
          </w:p>
        </w:tc>
        <w:tc>
          <w:tcPr>
            <w:tcW w:w="1328" w:type="dxa"/>
            <w:tcBorders>
              <w:top w:val="single" w:sz="4" w:space="0" w:color="17365D"/>
              <w:left w:val="nil"/>
              <w:bottom w:val="single" w:sz="4" w:space="0" w:color="17365D"/>
              <w:right w:val="nil"/>
            </w:tcBorders>
            <w:shd w:val="clear" w:color="auto" w:fill="auto"/>
            <w:vAlign w:val="center"/>
          </w:tcPr>
          <w:p w14:paraId="07CEBDE5" w14:textId="67378CFC"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7</w:t>
            </w:r>
            <w:r w:rsidR="00CB5917" w:rsidRPr="00D613A6">
              <w:rPr>
                <w:color w:val="17365D"/>
                <w:sz w:val="20"/>
                <w:szCs w:val="20"/>
              </w:rPr>
              <w:t>.</w:t>
            </w:r>
            <w:r w:rsidRPr="00D613A6">
              <w:rPr>
                <w:color w:val="17365D"/>
                <w:sz w:val="20"/>
                <w:szCs w:val="20"/>
              </w:rPr>
              <w:t>53</w:t>
            </w:r>
          </w:p>
        </w:tc>
      </w:tr>
      <w:tr w:rsidR="00D613A6" w:rsidRPr="00D613A6" w14:paraId="64DED327" w14:textId="77777777" w:rsidTr="005123EA">
        <w:trPr>
          <w:trHeight w:val="285"/>
        </w:trPr>
        <w:tc>
          <w:tcPr>
            <w:tcW w:w="896" w:type="dxa"/>
            <w:tcBorders>
              <w:top w:val="single" w:sz="4" w:space="0" w:color="17365D"/>
              <w:bottom w:val="single" w:sz="4" w:space="0" w:color="17365D"/>
            </w:tcBorders>
            <w:shd w:val="clear" w:color="auto" w:fill="auto"/>
            <w:vAlign w:val="center"/>
          </w:tcPr>
          <w:p w14:paraId="0CB4BF75" w14:textId="61D68CD3" w:rsidR="00CB5917" w:rsidRPr="00D613A6" w:rsidRDefault="00CB5917" w:rsidP="00CB5917">
            <w:pPr>
              <w:pStyle w:val="Pamatteksts1"/>
              <w:spacing w:before="40" w:after="40"/>
              <w:ind w:firstLine="0"/>
              <w:jc w:val="left"/>
              <w:rPr>
                <w:b/>
                <w:color w:val="17365D"/>
                <w:sz w:val="20"/>
                <w:szCs w:val="20"/>
              </w:rPr>
            </w:pPr>
            <w:r w:rsidRPr="00D613A6">
              <w:rPr>
                <w:b/>
                <w:color w:val="17365D"/>
                <w:sz w:val="20"/>
                <w:szCs w:val="20"/>
              </w:rPr>
              <w:t>2.0.</w:t>
            </w:r>
          </w:p>
        </w:tc>
        <w:tc>
          <w:tcPr>
            <w:tcW w:w="2565" w:type="dxa"/>
            <w:tcBorders>
              <w:top w:val="single" w:sz="4" w:space="0" w:color="17365D"/>
              <w:bottom w:val="single" w:sz="4" w:space="0" w:color="17365D"/>
            </w:tcBorders>
            <w:shd w:val="clear" w:color="auto" w:fill="auto"/>
            <w:vAlign w:val="center"/>
          </w:tcPr>
          <w:p w14:paraId="0D21AE6B" w14:textId="08BDC9A2" w:rsidR="00CB5917" w:rsidRPr="00D613A6" w:rsidRDefault="00CB5917" w:rsidP="00CB5917">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auto" w:fill="auto"/>
            <w:vAlign w:val="center"/>
          </w:tcPr>
          <w:p w14:paraId="5052F846" w14:textId="7426CF07"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1 170 475 677</w:t>
            </w:r>
          </w:p>
        </w:tc>
        <w:tc>
          <w:tcPr>
            <w:tcW w:w="1482" w:type="dxa"/>
            <w:tcBorders>
              <w:top w:val="single" w:sz="4" w:space="0" w:color="17365D"/>
              <w:left w:val="nil"/>
              <w:bottom w:val="single" w:sz="4" w:space="0" w:color="17365D"/>
              <w:right w:val="nil"/>
            </w:tcBorders>
            <w:shd w:val="clear" w:color="auto" w:fill="auto"/>
            <w:vAlign w:val="center"/>
          </w:tcPr>
          <w:p w14:paraId="1A0B64A2" w14:textId="6C5D4222"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1 013 902 828</w:t>
            </w:r>
          </w:p>
        </w:tc>
        <w:tc>
          <w:tcPr>
            <w:tcW w:w="1632" w:type="dxa"/>
            <w:tcBorders>
              <w:top w:val="single" w:sz="4" w:space="0" w:color="17365D"/>
              <w:left w:val="nil"/>
              <w:bottom w:val="single" w:sz="4" w:space="0" w:color="17365D"/>
              <w:right w:val="nil"/>
            </w:tcBorders>
            <w:shd w:val="clear" w:color="auto" w:fill="auto"/>
            <w:vAlign w:val="center"/>
          </w:tcPr>
          <w:p w14:paraId="42204E1A" w14:textId="40496105" w:rsidR="00CB5917" w:rsidRPr="00D613A6" w:rsidRDefault="00CB5917" w:rsidP="00D676F7">
            <w:pPr>
              <w:pStyle w:val="Pamatteksts1"/>
              <w:spacing w:before="40" w:after="40"/>
              <w:ind w:firstLine="0"/>
              <w:jc w:val="right"/>
              <w:rPr>
                <w:b/>
                <w:color w:val="17365D"/>
                <w:sz w:val="20"/>
                <w:szCs w:val="20"/>
              </w:rPr>
            </w:pPr>
            <w:r w:rsidRPr="00D613A6">
              <w:rPr>
                <w:b/>
                <w:color w:val="17365D"/>
                <w:sz w:val="20"/>
                <w:szCs w:val="20"/>
              </w:rPr>
              <w:t>15</w:t>
            </w:r>
            <w:r w:rsidR="00D676F7" w:rsidRPr="00D613A6">
              <w:rPr>
                <w:b/>
                <w:color w:val="17365D"/>
                <w:sz w:val="20"/>
                <w:szCs w:val="20"/>
              </w:rPr>
              <w:t>6</w:t>
            </w:r>
            <w:r w:rsidRPr="00D613A6">
              <w:rPr>
                <w:b/>
                <w:color w:val="17365D"/>
                <w:sz w:val="20"/>
                <w:szCs w:val="20"/>
              </w:rPr>
              <w:t xml:space="preserve"> </w:t>
            </w:r>
            <w:r w:rsidR="00D676F7" w:rsidRPr="00D613A6">
              <w:rPr>
                <w:b/>
                <w:color w:val="17365D"/>
                <w:sz w:val="20"/>
                <w:szCs w:val="20"/>
              </w:rPr>
              <w:t>572</w:t>
            </w:r>
            <w:r w:rsidRPr="00D613A6">
              <w:rPr>
                <w:b/>
                <w:color w:val="17365D"/>
                <w:sz w:val="20"/>
                <w:szCs w:val="20"/>
              </w:rPr>
              <w:t xml:space="preserve"> </w:t>
            </w:r>
            <w:r w:rsidR="00D676F7" w:rsidRPr="00D613A6">
              <w:rPr>
                <w:b/>
                <w:color w:val="17365D"/>
                <w:sz w:val="20"/>
                <w:szCs w:val="20"/>
              </w:rPr>
              <w:t>849</w:t>
            </w:r>
          </w:p>
        </w:tc>
        <w:tc>
          <w:tcPr>
            <w:tcW w:w="1328" w:type="dxa"/>
            <w:tcBorders>
              <w:top w:val="single" w:sz="4" w:space="0" w:color="17365D"/>
              <w:left w:val="nil"/>
              <w:bottom w:val="single" w:sz="4" w:space="0" w:color="17365D"/>
              <w:right w:val="nil"/>
            </w:tcBorders>
            <w:shd w:val="clear" w:color="auto" w:fill="auto"/>
            <w:vAlign w:val="center"/>
          </w:tcPr>
          <w:p w14:paraId="6C611E93" w14:textId="55C947EC" w:rsidR="00CB5917" w:rsidRPr="00D613A6" w:rsidRDefault="00D676F7" w:rsidP="00CB5917">
            <w:pPr>
              <w:pStyle w:val="Pamatteksts1"/>
              <w:spacing w:before="40" w:after="40"/>
              <w:ind w:firstLine="0"/>
              <w:jc w:val="right"/>
              <w:rPr>
                <w:b/>
                <w:color w:val="17365D"/>
                <w:sz w:val="20"/>
                <w:szCs w:val="20"/>
              </w:rPr>
            </w:pPr>
            <w:r w:rsidRPr="00D613A6">
              <w:rPr>
                <w:b/>
                <w:color w:val="17365D"/>
                <w:sz w:val="20"/>
                <w:szCs w:val="20"/>
              </w:rPr>
              <w:t>15</w:t>
            </w:r>
            <w:r w:rsidR="00CB5917" w:rsidRPr="00D613A6">
              <w:rPr>
                <w:b/>
                <w:color w:val="17365D"/>
                <w:sz w:val="20"/>
                <w:szCs w:val="20"/>
              </w:rPr>
              <w:t>.</w:t>
            </w:r>
            <w:r w:rsidRPr="00D613A6">
              <w:rPr>
                <w:b/>
                <w:color w:val="17365D"/>
                <w:sz w:val="20"/>
                <w:szCs w:val="20"/>
              </w:rPr>
              <w:t>44</w:t>
            </w:r>
          </w:p>
        </w:tc>
      </w:tr>
      <w:tr w:rsidR="00D613A6" w:rsidRPr="00D613A6" w14:paraId="7527A187" w14:textId="77777777" w:rsidTr="005123EA">
        <w:trPr>
          <w:trHeight w:val="285"/>
        </w:trPr>
        <w:tc>
          <w:tcPr>
            <w:tcW w:w="896" w:type="dxa"/>
            <w:tcBorders>
              <w:top w:val="single" w:sz="4" w:space="0" w:color="17365D"/>
              <w:bottom w:val="single" w:sz="4" w:space="0" w:color="17365D"/>
            </w:tcBorders>
            <w:shd w:val="clear" w:color="auto" w:fill="auto"/>
            <w:vAlign w:val="center"/>
          </w:tcPr>
          <w:p w14:paraId="3C40E433" w14:textId="7C3889BE"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2.1.</w:t>
            </w:r>
          </w:p>
        </w:tc>
        <w:tc>
          <w:tcPr>
            <w:tcW w:w="2565" w:type="dxa"/>
            <w:tcBorders>
              <w:top w:val="single" w:sz="4" w:space="0" w:color="17365D"/>
              <w:bottom w:val="single" w:sz="4" w:space="0" w:color="17365D"/>
            </w:tcBorders>
            <w:shd w:val="clear" w:color="auto" w:fill="auto"/>
            <w:vAlign w:val="center"/>
          </w:tcPr>
          <w:p w14:paraId="207F3F90" w14:textId="5E9023F2"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auto" w:fill="auto"/>
            <w:vAlign w:val="center"/>
          </w:tcPr>
          <w:p w14:paraId="00AAA48C" w14:textId="556CCB32"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1 023 233 776</w:t>
            </w:r>
          </w:p>
        </w:tc>
        <w:tc>
          <w:tcPr>
            <w:tcW w:w="1482" w:type="dxa"/>
            <w:tcBorders>
              <w:top w:val="single" w:sz="4" w:space="0" w:color="17365D"/>
              <w:left w:val="nil"/>
              <w:bottom w:val="single" w:sz="4" w:space="0" w:color="17365D"/>
              <w:right w:val="nil"/>
            </w:tcBorders>
            <w:shd w:val="clear" w:color="auto" w:fill="auto"/>
            <w:vAlign w:val="center"/>
          </w:tcPr>
          <w:p w14:paraId="2D7735D3" w14:textId="4BA53570"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843 564 043</w:t>
            </w:r>
          </w:p>
        </w:tc>
        <w:tc>
          <w:tcPr>
            <w:tcW w:w="1632" w:type="dxa"/>
            <w:tcBorders>
              <w:top w:val="single" w:sz="4" w:space="0" w:color="17365D"/>
              <w:left w:val="nil"/>
              <w:bottom w:val="single" w:sz="4" w:space="0" w:color="17365D"/>
              <w:right w:val="nil"/>
            </w:tcBorders>
            <w:shd w:val="clear" w:color="auto" w:fill="auto"/>
            <w:vAlign w:val="center"/>
          </w:tcPr>
          <w:p w14:paraId="5158A483" w14:textId="13642DCC" w:rsidR="00CB5917" w:rsidRPr="00D613A6" w:rsidRDefault="00CB5917" w:rsidP="00D676F7">
            <w:pPr>
              <w:pStyle w:val="Pamatteksts1"/>
              <w:spacing w:before="40" w:after="40"/>
              <w:ind w:firstLine="0"/>
              <w:jc w:val="right"/>
              <w:rPr>
                <w:color w:val="17365D"/>
                <w:sz w:val="20"/>
                <w:szCs w:val="20"/>
              </w:rPr>
            </w:pPr>
            <w:r w:rsidRPr="00D613A6">
              <w:rPr>
                <w:color w:val="17365D"/>
                <w:sz w:val="20"/>
                <w:szCs w:val="20"/>
              </w:rPr>
              <w:t>1</w:t>
            </w:r>
            <w:r w:rsidR="00D676F7" w:rsidRPr="00D613A6">
              <w:rPr>
                <w:color w:val="17365D"/>
                <w:sz w:val="20"/>
                <w:szCs w:val="20"/>
              </w:rPr>
              <w:t>79</w:t>
            </w:r>
            <w:r w:rsidRPr="00D613A6">
              <w:rPr>
                <w:color w:val="17365D"/>
                <w:sz w:val="20"/>
                <w:szCs w:val="20"/>
              </w:rPr>
              <w:t xml:space="preserve"> </w:t>
            </w:r>
            <w:r w:rsidR="00D676F7" w:rsidRPr="00D613A6">
              <w:rPr>
                <w:color w:val="17365D"/>
                <w:sz w:val="20"/>
                <w:szCs w:val="20"/>
              </w:rPr>
              <w:t>669</w:t>
            </w:r>
            <w:r w:rsidRPr="00D613A6">
              <w:rPr>
                <w:color w:val="17365D"/>
                <w:sz w:val="20"/>
                <w:szCs w:val="20"/>
              </w:rPr>
              <w:t xml:space="preserve"> </w:t>
            </w:r>
            <w:r w:rsidR="00D676F7" w:rsidRPr="00D613A6">
              <w:rPr>
                <w:color w:val="17365D"/>
                <w:sz w:val="20"/>
                <w:szCs w:val="20"/>
              </w:rPr>
              <w:t>733</w:t>
            </w:r>
          </w:p>
        </w:tc>
        <w:tc>
          <w:tcPr>
            <w:tcW w:w="1328" w:type="dxa"/>
            <w:tcBorders>
              <w:top w:val="single" w:sz="4" w:space="0" w:color="17365D"/>
              <w:left w:val="nil"/>
              <w:bottom w:val="single" w:sz="4" w:space="0" w:color="17365D"/>
              <w:right w:val="nil"/>
            </w:tcBorders>
            <w:shd w:val="clear" w:color="auto" w:fill="auto"/>
            <w:vAlign w:val="center"/>
          </w:tcPr>
          <w:p w14:paraId="50AC1828" w14:textId="09B015D2"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21</w:t>
            </w:r>
            <w:r w:rsidR="00CB5917" w:rsidRPr="00D613A6">
              <w:rPr>
                <w:color w:val="17365D"/>
                <w:sz w:val="20"/>
                <w:szCs w:val="20"/>
              </w:rPr>
              <w:t>.</w:t>
            </w:r>
            <w:r w:rsidRPr="00D613A6">
              <w:rPr>
                <w:color w:val="17365D"/>
                <w:sz w:val="20"/>
                <w:szCs w:val="20"/>
              </w:rPr>
              <w:t>30</w:t>
            </w:r>
          </w:p>
        </w:tc>
      </w:tr>
      <w:tr w:rsidR="00D613A6" w:rsidRPr="00D613A6" w14:paraId="67DC69B2" w14:textId="77777777" w:rsidTr="005123EA">
        <w:trPr>
          <w:trHeight w:val="285"/>
        </w:trPr>
        <w:tc>
          <w:tcPr>
            <w:tcW w:w="896" w:type="dxa"/>
            <w:tcBorders>
              <w:top w:val="single" w:sz="4" w:space="0" w:color="17365D"/>
              <w:bottom w:val="nil"/>
            </w:tcBorders>
            <w:shd w:val="clear" w:color="auto" w:fill="auto"/>
            <w:vAlign w:val="center"/>
          </w:tcPr>
          <w:p w14:paraId="75B01F09" w14:textId="527C5AE7"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2.2.</w:t>
            </w:r>
          </w:p>
        </w:tc>
        <w:tc>
          <w:tcPr>
            <w:tcW w:w="2565" w:type="dxa"/>
            <w:tcBorders>
              <w:top w:val="single" w:sz="4" w:space="0" w:color="17365D"/>
              <w:bottom w:val="nil"/>
            </w:tcBorders>
            <w:shd w:val="clear" w:color="auto" w:fill="auto"/>
            <w:vAlign w:val="center"/>
          </w:tcPr>
          <w:p w14:paraId="00A39CC7" w14:textId="0CE45B31"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Kapitālo izdevumu transferti</w:t>
            </w:r>
          </w:p>
        </w:tc>
        <w:tc>
          <w:tcPr>
            <w:tcW w:w="1482" w:type="dxa"/>
            <w:tcBorders>
              <w:top w:val="single" w:sz="4" w:space="0" w:color="17365D"/>
              <w:left w:val="nil"/>
              <w:bottom w:val="nil"/>
              <w:right w:val="nil"/>
            </w:tcBorders>
            <w:shd w:val="clear" w:color="auto" w:fill="auto"/>
            <w:vAlign w:val="center"/>
          </w:tcPr>
          <w:p w14:paraId="4AD0882B" w14:textId="559EB8E2" w:rsidR="00CB5917" w:rsidRPr="00D613A6" w:rsidRDefault="00CB5917" w:rsidP="00D676F7">
            <w:pPr>
              <w:pStyle w:val="Pamatteksts1"/>
              <w:spacing w:before="40" w:after="40"/>
              <w:ind w:firstLine="0"/>
              <w:jc w:val="right"/>
              <w:rPr>
                <w:color w:val="17365D"/>
                <w:sz w:val="20"/>
                <w:szCs w:val="20"/>
              </w:rPr>
            </w:pPr>
            <w:r w:rsidRPr="00D613A6">
              <w:rPr>
                <w:color w:val="17365D"/>
                <w:sz w:val="20"/>
                <w:szCs w:val="20"/>
              </w:rPr>
              <w:t>1</w:t>
            </w:r>
            <w:r w:rsidR="00D676F7" w:rsidRPr="00D613A6">
              <w:rPr>
                <w:color w:val="17365D"/>
                <w:sz w:val="20"/>
                <w:szCs w:val="20"/>
              </w:rPr>
              <w:t>47</w:t>
            </w:r>
            <w:r w:rsidRPr="00D613A6">
              <w:rPr>
                <w:color w:val="17365D"/>
                <w:sz w:val="20"/>
                <w:szCs w:val="20"/>
              </w:rPr>
              <w:t xml:space="preserve"> </w:t>
            </w:r>
            <w:r w:rsidR="00D676F7" w:rsidRPr="00D613A6">
              <w:rPr>
                <w:color w:val="17365D"/>
                <w:sz w:val="20"/>
                <w:szCs w:val="20"/>
              </w:rPr>
              <w:t>241</w:t>
            </w:r>
            <w:r w:rsidRPr="00D613A6">
              <w:rPr>
                <w:color w:val="17365D"/>
                <w:sz w:val="20"/>
                <w:szCs w:val="20"/>
              </w:rPr>
              <w:t xml:space="preserve"> </w:t>
            </w:r>
            <w:r w:rsidR="00D676F7" w:rsidRPr="00D613A6">
              <w:rPr>
                <w:color w:val="17365D"/>
                <w:sz w:val="20"/>
                <w:szCs w:val="20"/>
              </w:rPr>
              <w:t>901</w:t>
            </w:r>
          </w:p>
        </w:tc>
        <w:tc>
          <w:tcPr>
            <w:tcW w:w="1482" w:type="dxa"/>
            <w:tcBorders>
              <w:top w:val="single" w:sz="4" w:space="0" w:color="17365D"/>
              <w:left w:val="nil"/>
              <w:bottom w:val="nil"/>
              <w:right w:val="nil"/>
            </w:tcBorders>
            <w:shd w:val="clear" w:color="auto" w:fill="auto"/>
            <w:vAlign w:val="center"/>
          </w:tcPr>
          <w:p w14:paraId="3D04A66C" w14:textId="43FC15E1"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170 338 785</w:t>
            </w:r>
          </w:p>
        </w:tc>
        <w:tc>
          <w:tcPr>
            <w:tcW w:w="1632" w:type="dxa"/>
            <w:tcBorders>
              <w:top w:val="single" w:sz="4" w:space="0" w:color="17365D"/>
              <w:left w:val="nil"/>
              <w:bottom w:val="nil"/>
              <w:right w:val="nil"/>
            </w:tcBorders>
            <w:shd w:val="clear" w:color="auto" w:fill="auto"/>
            <w:vAlign w:val="center"/>
          </w:tcPr>
          <w:p w14:paraId="76715E0A" w14:textId="6E107922"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-23</w:t>
            </w:r>
            <w:r w:rsidR="00CB5917" w:rsidRPr="00D613A6">
              <w:rPr>
                <w:color w:val="17365D"/>
                <w:sz w:val="20"/>
                <w:szCs w:val="20"/>
              </w:rPr>
              <w:t xml:space="preserve"> </w:t>
            </w:r>
            <w:r w:rsidRPr="00D613A6">
              <w:rPr>
                <w:color w:val="17365D"/>
                <w:sz w:val="20"/>
                <w:szCs w:val="20"/>
              </w:rPr>
              <w:t>096</w:t>
            </w:r>
            <w:r w:rsidR="00CB5917" w:rsidRPr="00D613A6">
              <w:rPr>
                <w:color w:val="17365D"/>
                <w:sz w:val="20"/>
                <w:szCs w:val="20"/>
              </w:rPr>
              <w:t xml:space="preserve"> </w:t>
            </w:r>
            <w:r w:rsidRPr="00D613A6">
              <w:rPr>
                <w:color w:val="17365D"/>
                <w:sz w:val="20"/>
                <w:szCs w:val="20"/>
              </w:rPr>
              <w:t>884</w:t>
            </w:r>
          </w:p>
        </w:tc>
        <w:tc>
          <w:tcPr>
            <w:tcW w:w="1328" w:type="dxa"/>
            <w:tcBorders>
              <w:top w:val="single" w:sz="4" w:space="0" w:color="17365D"/>
              <w:left w:val="nil"/>
              <w:bottom w:val="nil"/>
              <w:right w:val="nil"/>
            </w:tcBorders>
            <w:shd w:val="clear" w:color="auto" w:fill="auto"/>
            <w:vAlign w:val="center"/>
          </w:tcPr>
          <w:p w14:paraId="7631998B" w14:textId="51267928"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-13.5</w:t>
            </w:r>
            <w:r w:rsidR="00D676F7" w:rsidRPr="00D613A6">
              <w:rPr>
                <w:color w:val="17365D"/>
                <w:sz w:val="20"/>
                <w:szCs w:val="20"/>
              </w:rPr>
              <w:t>6</w:t>
            </w:r>
          </w:p>
        </w:tc>
      </w:tr>
      <w:tr w:rsidR="00D613A6" w:rsidRPr="00D613A6" w14:paraId="3AB6E834" w14:textId="77777777" w:rsidTr="00437740">
        <w:trPr>
          <w:trHeight w:val="285"/>
        </w:trPr>
        <w:tc>
          <w:tcPr>
            <w:tcW w:w="896" w:type="dxa"/>
            <w:tcBorders>
              <w:top w:val="nil"/>
              <w:bottom w:val="nil"/>
            </w:tcBorders>
            <w:shd w:val="clear" w:color="auto" w:fill="B9CDE5"/>
            <w:vAlign w:val="center"/>
          </w:tcPr>
          <w:p w14:paraId="12E24A0F" w14:textId="77777777" w:rsidR="00675988" w:rsidRPr="00D613A6" w:rsidRDefault="00675988" w:rsidP="00675988">
            <w:pPr>
              <w:pStyle w:val="Pamatteksts1"/>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0E3FEF87" w14:textId="77777777" w:rsidR="00675988" w:rsidRPr="00D613A6" w:rsidRDefault="00675988" w:rsidP="00675988">
            <w:pPr>
              <w:pStyle w:val="Pamatteksts1"/>
              <w:spacing w:before="40" w:after="40"/>
              <w:ind w:firstLine="0"/>
              <w:jc w:val="left"/>
              <w:rPr>
                <w:bCs/>
                <w:color w:val="17365D"/>
                <w:sz w:val="20"/>
                <w:szCs w:val="20"/>
              </w:rPr>
            </w:pPr>
          </w:p>
        </w:tc>
        <w:tc>
          <w:tcPr>
            <w:tcW w:w="1482" w:type="dxa"/>
            <w:tcBorders>
              <w:top w:val="nil"/>
              <w:bottom w:val="nil"/>
            </w:tcBorders>
            <w:shd w:val="clear" w:color="auto" w:fill="B9CDE5"/>
          </w:tcPr>
          <w:p w14:paraId="45D4CBDC" w14:textId="77777777" w:rsidR="00675988" w:rsidRPr="00D613A6" w:rsidRDefault="00675988" w:rsidP="00675988">
            <w:pPr>
              <w:pStyle w:val="Pamatteksts1"/>
              <w:spacing w:before="40" w:after="40"/>
              <w:ind w:firstLine="0"/>
              <w:jc w:val="right"/>
              <w:rPr>
                <w:bCs/>
                <w:color w:val="17365D"/>
                <w:sz w:val="20"/>
                <w:szCs w:val="20"/>
              </w:rPr>
            </w:pPr>
          </w:p>
        </w:tc>
        <w:tc>
          <w:tcPr>
            <w:tcW w:w="1482" w:type="dxa"/>
            <w:tcBorders>
              <w:top w:val="nil"/>
              <w:bottom w:val="nil"/>
            </w:tcBorders>
            <w:shd w:val="clear" w:color="auto" w:fill="B9CDE5"/>
          </w:tcPr>
          <w:p w14:paraId="0F9D8B25" w14:textId="77777777" w:rsidR="00675988" w:rsidRPr="00D613A6" w:rsidRDefault="00675988" w:rsidP="00675988">
            <w:pPr>
              <w:pStyle w:val="Pamatteksts1"/>
              <w:spacing w:before="40" w:after="40"/>
              <w:ind w:firstLine="0"/>
              <w:jc w:val="right"/>
              <w:rPr>
                <w:bCs/>
                <w:color w:val="17365D"/>
                <w:sz w:val="20"/>
                <w:szCs w:val="20"/>
              </w:rPr>
            </w:pPr>
          </w:p>
        </w:tc>
        <w:tc>
          <w:tcPr>
            <w:tcW w:w="1632" w:type="dxa"/>
            <w:tcBorders>
              <w:top w:val="nil"/>
              <w:bottom w:val="nil"/>
            </w:tcBorders>
            <w:shd w:val="clear" w:color="auto" w:fill="B9CDE5"/>
          </w:tcPr>
          <w:p w14:paraId="29EFC436" w14:textId="77777777" w:rsidR="00675988" w:rsidRPr="00D613A6" w:rsidRDefault="00675988" w:rsidP="00675988">
            <w:pPr>
              <w:pStyle w:val="Pamatteksts1"/>
              <w:spacing w:before="40" w:after="40"/>
              <w:ind w:firstLine="0"/>
              <w:jc w:val="right"/>
              <w:rPr>
                <w:bCs/>
                <w:color w:val="17365D"/>
                <w:sz w:val="20"/>
                <w:szCs w:val="20"/>
              </w:rPr>
            </w:pPr>
          </w:p>
        </w:tc>
        <w:tc>
          <w:tcPr>
            <w:tcW w:w="1328" w:type="dxa"/>
            <w:tcBorders>
              <w:top w:val="nil"/>
              <w:bottom w:val="nil"/>
            </w:tcBorders>
            <w:shd w:val="clear" w:color="auto" w:fill="B9CDE5"/>
          </w:tcPr>
          <w:p w14:paraId="6E47272D" w14:textId="77777777" w:rsidR="00675988" w:rsidRPr="00D613A6" w:rsidRDefault="00675988" w:rsidP="00675988">
            <w:pPr>
              <w:pStyle w:val="Pamatteksts1"/>
              <w:spacing w:before="40" w:after="40"/>
              <w:ind w:firstLine="0"/>
              <w:jc w:val="right"/>
              <w:rPr>
                <w:bCs/>
                <w:color w:val="17365D"/>
                <w:sz w:val="20"/>
                <w:szCs w:val="20"/>
              </w:rPr>
            </w:pPr>
          </w:p>
        </w:tc>
      </w:tr>
    </w:tbl>
    <w:p w14:paraId="11C0983E" w14:textId="77777777" w:rsidR="00AE783D" w:rsidRPr="00D613A6" w:rsidRDefault="00AE783D" w:rsidP="009C6221">
      <w:pPr>
        <w:pStyle w:val="Pamatteksts1"/>
        <w:spacing w:after="0"/>
        <w:rPr>
          <w:color w:val="17365D"/>
        </w:rPr>
      </w:pPr>
    </w:p>
    <w:p w14:paraId="6FD09084" w14:textId="75D5ADBB" w:rsidR="00BD51CF" w:rsidRPr="00D613A6" w:rsidRDefault="00BD51CF" w:rsidP="00AE783D">
      <w:pPr>
        <w:pStyle w:val="Pamatteksts1"/>
        <w:rPr>
          <w:color w:val="17365D"/>
        </w:rPr>
      </w:pPr>
      <w:r w:rsidRPr="00D613A6">
        <w:rPr>
          <w:color w:val="17365D"/>
        </w:rPr>
        <w:t xml:space="preserve">Būtiskas izmaiņas </w:t>
      </w:r>
      <w:r w:rsidR="007A1242" w:rsidRPr="00D613A6">
        <w:rPr>
          <w:color w:val="17365D"/>
        </w:rPr>
        <w:t xml:space="preserve">izdevumu pozīcijās </w:t>
      </w:r>
      <w:r w:rsidRPr="00D613A6">
        <w:rPr>
          <w:color w:val="17365D"/>
        </w:rPr>
        <w:t>galvenokārt veidojas</w:t>
      </w:r>
      <w:r w:rsidR="00A001CD" w:rsidRPr="00D613A6">
        <w:rPr>
          <w:color w:val="17365D"/>
        </w:rPr>
        <w:t xml:space="preserve"> </w:t>
      </w:r>
      <w:r w:rsidR="00A001CD" w:rsidRPr="00D613A6">
        <w:rPr>
          <w:noProof w:val="0"/>
          <w:color w:val="17365D"/>
        </w:rPr>
        <w:t xml:space="preserve">(skatīt </w:t>
      </w:r>
      <w:r w:rsidR="00505F8A" w:rsidRPr="00D613A6">
        <w:rPr>
          <w:noProof w:val="0"/>
          <w:color w:val="17365D"/>
        </w:rPr>
        <w:t>6.</w:t>
      </w:r>
      <w:r w:rsidR="0044403C" w:rsidRPr="00D613A6">
        <w:rPr>
          <w:noProof w:val="0"/>
          <w:color w:val="17365D"/>
        </w:rPr>
        <w:t>5</w:t>
      </w:r>
      <w:r w:rsidR="00A001CD" w:rsidRPr="00D613A6">
        <w:rPr>
          <w:noProof w:val="0"/>
          <w:color w:val="17365D"/>
        </w:rPr>
        <w:t>. tabulu)</w:t>
      </w:r>
      <w:r w:rsidRPr="00D613A6">
        <w:rPr>
          <w:color w:val="17365D"/>
        </w:rPr>
        <w:t>:</w:t>
      </w:r>
    </w:p>
    <w:p w14:paraId="296918CD" w14:textId="78103057" w:rsidR="00ED4AC6" w:rsidRPr="00D613A6" w:rsidRDefault="00BD51CF" w:rsidP="00ED4AC6">
      <w:pPr>
        <w:spacing w:before="120" w:after="60"/>
        <w:rPr>
          <w:color w:val="17365D"/>
        </w:rPr>
      </w:pPr>
      <w:r w:rsidRPr="00D613A6">
        <w:rPr>
          <w:color w:val="17365D"/>
          <w:u w:val="single"/>
        </w:rPr>
        <w:t>postenim “</w:t>
      </w:r>
      <w:r w:rsidR="00F11A2F" w:rsidRPr="00D613A6">
        <w:rPr>
          <w:color w:val="17365D"/>
          <w:u w:val="single"/>
        </w:rPr>
        <w:t>K</w:t>
      </w:r>
      <w:r w:rsidR="004F351A" w:rsidRPr="00D613A6">
        <w:rPr>
          <w:color w:val="17365D"/>
          <w:u w:val="single"/>
        </w:rPr>
        <w:t>ārtējie izdevumi</w:t>
      </w:r>
      <w:r w:rsidRPr="00D613A6">
        <w:rPr>
          <w:color w:val="17365D"/>
          <w:u w:val="single"/>
        </w:rPr>
        <w:t>”</w:t>
      </w:r>
      <w:r w:rsidR="00AE1BE5" w:rsidRPr="00D613A6">
        <w:rPr>
          <w:color w:val="17365D"/>
        </w:rPr>
        <w:t xml:space="preserve"> </w:t>
      </w:r>
      <w:r w:rsidR="006641F5" w:rsidRPr="00D613A6">
        <w:rPr>
          <w:color w:val="17365D"/>
        </w:rPr>
        <w:t xml:space="preserve">– </w:t>
      </w:r>
      <w:r w:rsidRPr="00D613A6">
        <w:rPr>
          <w:color w:val="17365D"/>
        </w:rPr>
        <w:t xml:space="preserve">pārskata perioda izdevumi </w:t>
      </w:r>
      <w:r w:rsidR="00BC17D0" w:rsidRPr="00D613A6">
        <w:rPr>
          <w:color w:val="17365D"/>
        </w:rPr>
        <w:t xml:space="preserve">ir </w:t>
      </w:r>
      <w:r w:rsidR="000F3747" w:rsidRPr="00D613A6">
        <w:rPr>
          <w:color w:val="17365D"/>
        </w:rPr>
        <w:t>3</w:t>
      </w:r>
      <w:r w:rsidR="000A0514" w:rsidRPr="00D613A6">
        <w:rPr>
          <w:color w:val="17365D"/>
        </w:rPr>
        <w:t> </w:t>
      </w:r>
      <w:r w:rsidR="000F3747" w:rsidRPr="00D613A6">
        <w:rPr>
          <w:color w:val="17365D"/>
        </w:rPr>
        <w:t>009</w:t>
      </w:r>
      <w:r w:rsidRPr="00D613A6">
        <w:rPr>
          <w:color w:val="17365D"/>
        </w:rPr>
        <w:t>,</w:t>
      </w:r>
      <w:r w:rsidR="000F3747" w:rsidRPr="00D613A6">
        <w:rPr>
          <w:color w:val="17365D"/>
        </w:rPr>
        <w:t>0</w:t>
      </w:r>
      <w:r w:rsidRPr="00D613A6">
        <w:rPr>
          <w:color w:val="17365D"/>
        </w:rPr>
        <w:t xml:space="preserve"> milj. </w:t>
      </w:r>
      <w:r w:rsidRPr="00D613A6">
        <w:rPr>
          <w:i/>
          <w:color w:val="17365D"/>
        </w:rPr>
        <w:t>euro</w:t>
      </w:r>
      <w:r w:rsidR="00DA1F5F" w:rsidRPr="00D613A6">
        <w:rPr>
          <w:i/>
          <w:color w:val="17365D"/>
        </w:rPr>
        <w:t> </w:t>
      </w:r>
      <w:r w:rsidR="003B3908" w:rsidRPr="00D613A6">
        <w:rPr>
          <w:color w:val="17365D"/>
        </w:rPr>
        <w:t>vērtībā</w:t>
      </w:r>
      <w:r w:rsidRPr="00D613A6">
        <w:rPr>
          <w:color w:val="17365D"/>
        </w:rPr>
        <w:t>, kas</w:t>
      </w:r>
      <w:r w:rsidR="006E0F73" w:rsidRPr="00D613A6">
        <w:rPr>
          <w:color w:val="17365D"/>
        </w:rPr>
        <w:t>,</w:t>
      </w:r>
      <w:r w:rsidRPr="00D613A6">
        <w:rPr>
          <w:color w:val="17365D"/>
        </w:rPr>
        <w:t xml:space="preserve"> salīdzinot ar 2</w:t>
      </w:r>
      <w:r w:rsidR="0013255B" w:rsidRPr="00D613A6">
        <w:rPr>
          <w:color w:val="17365D"/>
        </w:rPr>
        <w:t>0</w:t>
      </w:r>
      <w:r w:rsidR="00D8253A" w:rsidRPr="00D613A6">
        <w:rPr>
          <w:color w:val="17365D"/>
        </w:rPr>
        <w:t>2</w:t>
      </w:r>
      <w:r w:rsidR="000F3747" w:rsidRPr="00D613A6">
        <w:rPr>
          <w:color w:val="17365D"/>
        </w:rPr>
        <w:t>3</w:t>
      </w:r>
      <w:r w:rsidR="0013255B" w:rsidRPr="00D613A6">
        <w:rPr>
          <w:color w:val="17365D"/>
        </w:rPr>
        <w:t>.</w:t>
      </w:r>
      <w:r w:rsidR="004B35F9" w:rsidRPr="00D613A6">
        <w:rPr>
          <w:color w:val="17365D"/>
        </w:rPr>
        <w:t> </w:t>
      </w:r>
      <w:r w:rsidR="0013255B" w:rsidRPr="00D613A6">
        <w:rPr>
          <w:color w:val="17365D"/>
        </w:rPr>
        <w:t>gadu</w:t>
      </w:r>
      <w:r w:rsidR="006E0F73" w:rsidRPr="00D613A6">
        <w:rPr>
          <w:color w:val="17365D"/>
        </w:rPr>
        <w:t>,</w:t>
      </w:r>
      <w:r w:rsidR="0013255B" w:rsidRPr="00D613A6">
        <w:rPr>
          <w:color w:val="17365D"/>
        </w:rPr>
        <w:t xml:space="preserve"> palielinājās par </w:t>
      </w:r>
      <w:r w:rsidR="000F3747" w:rsidRPr="00D613A6">
        <w:rPr>
          <w:color w:val="17365D"/>
        </w:rPr>
        <w:t>72</w:t>
      </w:r>
      <w:r w:rsidR="0013255B" w:rsidRPr="00D613A6">
        <w:rPr>
          <w:color w:val="17365D"/>
        </w:rPr>
        <w:t>,</w:t>
      </w:r>
      <w:r w:rsidR="000F3747" w:rsidRPr="00D613A6">
        <w:rPr>
          <w:color w:val="17365D"/>
        </w:rPr>
        <w:t>9</w:t>
      </w:r>
      <w:r w:rsidRPr="00D613A6">
        <w:rPr>
          <w:color w:val="17365D"/>
        </w:rPr>
        <w:t xml:space="preserve"> milj.</w:t>
      </w:r>
      <w:r w:rsidR="00D267F1" w:rsidRPr="00D613A6">
        <w:rPr>
          <w:color w:val="17365D"/>
        </w:rPr>
        <w:t> </w:t>
      </w:r>
      <w:r w:rsidRPr="00D613A6">
        <w:rPr>
          <w:i/>
          <w:color w:val="17365D"/>
        </w:rPr>
        <w:t>euro</w:t>
      </w:r>
      <w:r w:rsidRPr="00D613A6">
        <w:rPr>
          <w:color w:val="17365D"/>
        </w:rPr>
        <w:t xml:space="preserve"> jeb </w:t>
      </w:r>
      <w:r w:rsidR="000F3747" w:rsidRPr="00D613A6">
        <w:rPr>
          <w:color w:val="17365D"/>
        </w:rPr>
        <w:t>2</w:t>
      </w:r>
      <w:r w:rsidRPr="00D613A6">
        <w:rPr>
          <w:color w:val="17365D"/>
        </w:rPr>
        <w:t>,</w:t>
      </w:r>
      <w:r w:rsidR="0040796D" w:rsidRPr="00D613A6">
        <w:rPr>
          <w:color w:val="17365D"/>
        </w:rPr>
        <w:t>48</w:t>
      </w:r>
      <w:r w:rsidR="00CB3CED" w:rsidRPr="00D613A6">
        <w:rPr>
          <w:color w:val="17365D"/>
        </w:rPr>
        <w:t> </w:t>
      </w:r>
      <w:r w:rsidR="0013255B" w:rsidRPr="00D613A6">
        <w:rPr>
          <w:color w:val="17365D"/>
        </w:rPr>
        <w:t>%. Būtiskāk</w:t>
      </w:r>
      <w:r w:rsidR="00672E14" w:rsidRPr="00D613A6">
        <w:rPr>
          <w:color w:val="17365D"/>
        </w:rPr>
        <w:t>ā</w:t>
      </w:r>
      <w:r w:rsidR="0013255B" w:rsidRPr="00D613A6">
        <w:rPr>
          <w:color w:val="17365D"/>
        </w:rPr>
        <w:t>s šī</w:t>
      </w:r>
      <w:r w:rsidRPr="00D613A6">
        <w:rPr>
          <w:color w:val="17365D"/>
        </w:rPr>
        <w:t xml:space="preserve"> posteņa </w:t>
      </w:r>
      <w:r w:rsidR="00672E14" w:rsidRPr="00D613A6">
        <w:rPr>
          <w:color w:val="17365D"/>
        </w:rPr>
        <w:t>izmaiņas</w:t>
      </w:r>
      <w:r w:rsidRPr="00D613A6">
        <w:rPr>
          <w:color w:val="17365D"/>
        </w:rPr>
        <w:t xml:space="preserve"> ir </w:t>
      </w:r>
      <w:r w:rsidR="00F73987" w:rsidRPr="00D613A6">
        <w:rPr>
          <w:color w:val="17365D"/>
        </w:rPr>
        <w:t xml:space="preserve">Iekšlietu ministrijai </w:t>
      </w:r>
      <w:r w:rsidR="00075BE9" w:rsidRPr="00D613A6">
        <w:rPr>
          <w:color w:val="17365D"/>
        </w:rPr>
        <w:t>74,5</w:t>
      </w:r>
      <w:r w:rsidR="00DC150C" w:rsidRPr="00D613A6">
        <w:rPr>
          <w:color w:val="17365D"/>
        </w:rPr>
        <w:t> milj. </w:t>
      </w:r>
      <w:r w:rsidR="00DC150C" w:rsidRPr="00D613A6">
        <w:rPr>
          <w:i/>
          <w:color w:val="17365D"/>
        </w:rPr>
        <w:t>euro</w:t>
      </w:r>
      <w:r w:rsidR="00DC150C" w:rsidRPr="00D613A6">
        <w:rPr>
          <w:color w:val="17365D"/>
        </w:rPr>
        <w:t xml:space="preserve">, </w:t>
      </w:r>
      <w:r w:rsidR="00075BE9" w:rsidRPr="00D613A6">
        <w:rPr>
          <w:color w:val="17365D"/>
        </w:rPr>
        <w:t>Satiksmes ministrijai 14</w:t>
      </w:r>
      <w:r w:rsidR="00BF23C6" w:rsidRPr="00D613A6">
        <w:rPr>
          <w:color w:val="17365D"/>
        </w:rPr>
        <w:t>,</w:t>
      </w:r>
      <w:r w:rsidR="00075BE9" w:rsidRPr="00D613A6">
        <w:rPr>
          <w:color w:val="17365D"/>
        </w:rPr>
        <w:t>7</w:t>
      </w:r>
      <w:r w:rsidR="00BF23C6" w:rsidRPr="00D613A6">
        <w:rPr>
          <w:color w:val="17365D"/>
        </w:rPr>
        <w:t> milj. </w:t>
      </w:r>
      <w:r w:rsidR="00DC150C" w:rsidRPr="00D613A6">
        <w:rPr>
          <w:i/>
          <w:color w:val="17365D"/>
        </w:rPr>
        <w:t>euro</w:t>
      </w:r>
      <w:r w:rsidR="00C40EFC" w:rsidRPr="00D613A6">
        <w:rPr>
          <w:i/>
          <w:color w:val="17365D"/>
        </w:rPr>
        <w:t>,</w:t>
      </w:r>
      <w:r w:rsidR="00BF23C6" w:rsidRPr="00D613A6">
        <w:rPr>
          <w:i/>
          <w:color w:val="17365D"/>
        </w:rPr>
        <w:t xml:space="preserve"> </w:t>
      </w:r>
      <w:r w:rsidR="00075BE9" w:rsidRPr="00D613A6">
        <w:rPr>
          <w:color w:val="17365D"/>
        </w:rPr>
        <w:t>Veselības</w:t>
      </w:r>
      <w:r w:rsidR="00F83791" w:rsidRPr="00D613A6">
        <w:rPr>
          <w:color w:val="17365D"/>
        </w:rPr>
        <w:t xml:space="preserve"> ministrija</w:t>
      </w:r>
      <w:r w:rsidR="0013255B" w:rsidRPr="00D613A6">
        <w:rPr>
          <w:color w:val="17365D"/>
        </w:rPr>
        <w:t>i</w:t>
      </w:r>
      <w:r w:rsidR="00F83791" w:rsidRPr="00D613A6">
        <w:rPr>
          <w:color w:val="17365D"/>
        </w:rPr>
        <w:t xml:space="preserve"> </w:t>
      </w:r>
      <w:r w:rsidR="00075BE9" w:rsidRPr="00D613A6">
        <w:rPr>
          <w:color w:val="17365D"/>
        </w:rPr>
        <w:t>12</w:t>
      </w:r>
      <w:r w:rsidRPr="00D613A6">
        <w:rPr>
          <w:color w:val="17365D"/>
        </w:rPr>
        <w:t>,</w:t>
      </w:r>
      <w:r w:rsidR="00075BE9" w:rsidRPr="00D613A6">
        <w:rPr>
          <w:color w:val="17365D"/>
        </w:rPr>
        <w:t>1</w:t>
      </w:r>
      <w:r w:rsidR="00D267F1" w:rsidRPr="00D613A6">
        <w:rPr>
          <w:color w:val="17365D"/>
        </w:rPr>
        <w:t> </w:t>
      </w:r>
      <w:r w:rsidRPr="00D613A6">
        <w:rPr>
          <w:color w:val="17365D"/>
        </w:rPr>
        <w:t>milj.</w:t>
      </w:r>
      <w:r w:rsidR="00D267F1" w:rsidRPr="00D613A6">
        <w:rPr>
          <w:color w:val="17365D"/>
        </w:rPr>
        <w:t> </w:t>
      </w:r>
      <w:r w:rsidRPr="00D613A6">
        <w:rPr>
          <w:i/>
          <w:color w:val="17365D"/>
        </w:rPr>
        <w:t>euro</w:t>
      </w:r>
      <w:r w:rsidR="00C40EFC" w:rsidRPr="00D613A6">
        <w:rPr>
          <w:i/>
          <w:color w:val="17365D"/>
        </w:rPr>
        <w:t xml:space="preserve">, </w:t>
      </w:r>
      <w:r w:rsidR="00C40EFC" w:rsidRPr="00D613A6">
        <w:rPr>
          <w:color w:val="17365D"/>
        </w:rPr>
        <w:t xml:space="preserve">bet samazinājums </w:t>
      </w:r>
      <w:r w:rsidR="00DC150C" w:rsidRPr="00D613A6">
        <w:rPr>
          <w:color w:val="17365D"/>
        </w:rPr>
        <w:t>Ekonomikas</w:t>
      </w:r>
      <w:r w:rsidR="00C40EFC" w:rsidRPr="00D613A6">
        <w:rPr>
          <w:color w:val="17365D"/>
        </w:rPr>
        <w:t xml:space="preserve"> ministrijai </w:t>
      </w:r>
      <w:r w:rsidR="00F11A2F" w:rsidRPr="00D613A6">
        <w:rPr>
          <w:color w:val="17365D"/>
        </w:rPr>
        <w:t>(</w:t>
      </w:r>
      <w:r w:rsidR="00075BE9" w:rsidRPr="00D613A6">
        <w:rPr>
          <w:color w:val="17365D"/>
        </w:rPr>
        <w:t>71</w:t>
      </w:r>
      <w:r w:rsidR="00DC150C" w:rsidRPr="00D613A6">
        <w:rPr>
          <w:color w:val="17365D"/>
        </w:rPr>
        <w:t>,</w:t>
      </w:r>
      <w:r w:rsidR="00075BE9" w:rsidRPr="00D613A6">
        <w:rPr>
          <w:color w:val="17365D"/>
        </w:rPr>
        <w:t>2</w:t>
      </w:r>
      <w:r w:rsidR="00F11A2F" w:rsidRPr="00D613A6">
        <w:rPr>
          <w:color w:val="17365D"/>
        </w:rPr>
        <w:t>)</w:t>
      </w:r>
      <w:r w:rsidR="00C40EFC" w:rsidRPr="00D613A6">
        <w:rPr>
          <w:color w:val="17365D"/>
        </w:rPr>
        <w:t xml:space="preserve"> milj. </w:t>
      </w:r>
      <w:r w:rsidR="00C40EFC" w:rsidRPr="00D613A6">
        <w:rPr>
          <w:i/>
          <w:color w:val="17365D"/>
        </w:rPr>
        <w:t>euro</w:t>
      </w:r>
      <w:r w:rsidRPr="00D613A6">
        <w:rPr>
          <w:color w:val="17365D"/>
        </w:rPr>
        <w:t>.</w:t>
      </w:r>
      <w:r w:rsidR="00ED4AC6" w:rsidRPr="00D613A6">
        <w:rPr>
          <w:color w:val="17365D"/>
        </w:rPr>
        <w:t xml:space="preserve"> Izdevumu pieaugumu galvenokārt ietekmēja:</w:t>
      </w:r>
    </w:p>
    <w:p w14:paraId="661FCF8B" w14:textId="17D1C693" w:rsidR="008C4620" w:rsidRPr="00D613A6" w:rsidRDefault="008C4620" w:rsidP="008750F0">
      <w:pPr>
        <w:pStyle w:val="Bullets"/>
        <w:numPr>
          <w:ilvl w:val="0"/>
          <w:numId w:val="7"/>
        </w:numPr>
        <w:ind w:left="993" w:hanging="426"/>
        <w:rPr>
          <w:color w:val="17365D"/>
        </w:rPr>
      </w:pPr>
      <w:r w:rsidRPr="00D613A6">
        <w:rPr>
          <w:color w:val="17365D"/>
        </w:rPr>
        <w:t>Iekšlietu</w:t>
      </w:r>
      <w:r w:rsidR="00111A40" w:rsidRPr="00D613A6">
        <w:rPr>
          <w:color w:val="17365D"/>
        </w:rPr>
        <w:t xml:space="preserve"> ministrija</w:t>
      </w:r>
      <w:r w:rsidRPr="00D613A6">
        <w:rPr>
          <w:color w:val="17365D"/>
        </w:rPr>
        <w:t>i</w:t>
      </w:r>
      <w:r w:rsidR="00111A40" w:rsidRPr="00D613A6">
        <w:rPr>
          <w:color w:val="17365D"/>
        </w:rPr>
        <w:t xml:space="preserve"> </w:t>
      </w:r>
      <w:r w:rsidRPr="00D613A6">
        <w:rPr>
          <w:color w:val="17365D"/>
        </w:rPr>
        <w:t>atlīdzības pieaugums amatpersonām ar speciālajām dienesta pakāpēm, kas nodrošina valsts iekšējās drošības st</w:t>
      </w:r>
      <w:r w:rsidR="009107A2" w:rsidRPr="00D613A6">
        <w:rPr>
          <w:color w:val="17365D"/>
        </w:rPr>
        <w:t>iprināšanas pasākumu īstenošanu,</w:t>
      </w:r>
      <w:r w:rsidRPr="00D613A6">
        <w:rPr>
          <w:color w:val="17365D"/>
        </w:rPr>
        <w:t xml:space="preserve"> valsts drošības dienesta aktivitāšu īstenošan</w:t>
      </w:r>
      <w:r w:rsidR="009107A2" w:rsidRPr="00D613A6">
        <w:rPr>
          <w:color w:val="17365D"/>
        </w:rPr>
        <w:t>u</w:t>
      </w:r>
      <w:r w:rsidRPr="00D613A6">
        <w:rPr>
          <w:color w:val="17365D"/>
        </w:rPr>
        <w:t xml:space="preserve"> un pasākuma</w:t>
      </w:r>
      <w:r w:rsidR="009107A2" w:rsidRPr="00D613A6">
        <w:rPr>
          <w:color w:val="17365D"/>
        </w:rPr>
        <w:t xml:space="preserve"> </w:t>
      </w:r>
      <w:r w:rsidRPr="00D613A6">
        <w:rPr>
          <w:color w:val="17365D"/>
        </w:rPr>
        <w:t>“Eiropas Savienības prasībām atbilstošu pasu, elektronisko identifikācijas karšu un uzturēšanās atļauju izsniegšana</w:t>
      </w:r>
      <w:r w:rsidR="00E80C20" w:rsidRPr="00D613A6">
        <w:rPr>
          <w:color w:val="17365D"/>
        </w:rPr>
        <w:t>” īstenošanu</w:t>
      </w:r>
      <w:r w:rsidRPr="00D613A6">
        <w:rPr>
          <w:color w:val="17365D"/>
        </w:rPr>
        <w:t xml:space="preserve">. </w:t>
      </w:r>
    </w:p>
    <w:p w14:paraId="404829C1" w14:textId="13439985" w:rsidR="00BD51CF" w:rsidRPr="00D613A6" w:rsidRDefault="00075BE9" w:rsidP="008750F0">
      <w:pPr>
        <w:pStyle w:val="Bullets"/>
        <w:numPr>
          <w:ilvl w:val="0"/>
          <w:numId w:val="7"/>
        </w:numPr>
        <w:ind w:left="993" w:hanging="426"/>
        <w:rPr>
          <w:color w:val="17365D"/>
        </w:rPr>
      </w:pPr>
      <w:r w:rsidRPr="00D613A6">
        <w:rPr>
          <w:color w:val="17365D"/>
        </w:rPr>
        <w:t>Satiksmes</w:t>
      </w:r>
      <w:r w:rsidR="00111A40" w:rsidRPr="00D613A6">
        <w:rPr>
          <w:color w:val="17365D"/>
        </w:rPr>
        <w:t xml:space="preserve"> ministrija</w:t>
      </w:r>
      <w:r w:rsidR="008C4620" w:rsidRPr="00D613A6">
        <w:rPr>
          <w:color w:val="17365D"/>
        </w:rPr>
        <w:t>i</w:t>
      </w:r>
      <w:r w:rsidR="00FC7699" w:rsidRPr="00D613A6">
        <w:rPr>
          <w:color w:val="17365D"/>
        </w:rPr>
        <w:t xml:space="preserve"> </w:t>
      </w:r>
      <w:r w:rsidRPr="00D613A6">
        <w:rPr>
          <w:color w:val="17365D"/>
        </w:rPr>
        <w:t>pakalpojumu izmaksu</w:t>
      </w:r>
      <w:r w:rsidR="00853A29" w:rsidRPr="00D613A6">
        <w:rPr>
          <w:color w:val="17365D"/>
        </w:rPr>
        <w:t xml:space="preserve"> pieaugum</w:t>
      </w:r>
      <w:r w:rsidR="003F38DF" w:rsidRPr="00D613A6">
        <w:rPr>
          <w:color w:val="17365D"/>
        </w:rPr>
        <w:t>s</w:t>
      </w:r>
      <w:r w:rsidR="00853A29" w:rsidRPr="00D613A6">
        <w:rPr>
          <w:color w:val="17365D"/>
        </w:rPr>
        <w:t xml:space="preserve"> saistībā </w:t>
      </w:r>
      <w:r w:rsidRPr="00D613A6">
        <w:rPr>
          <w:color w:val="17365D"/>
        </w:rPr>
        <w:t>par Ķekavas apvedceļa uzturēšanas maksājumiem</w:t>
      </w:r>
      <w:r w:rsidR="00FC7699" w:rsidRPr="00D613A6">
        <w:rPr>
          <w:color w:val="17365D"/>
        </w:rPr>
        <w:t>;</w:t>
      </w:r>
    </w:p>
    <w:p w14:paraId="1636A21D" w14:textId="40760DCA" w:rsidR="00C40EFC" w:rsidRPr="00D613A6" w:rsidRDefault="00075BE9" w:rsidP="008750F0">
      <w:pPr>
        <w:pStyle w:val="Bullets"/>
        <w:numPr>
          <w:ilvl w:val="0"/>
          <w:numId w:val="7"/>
        </w:numPr>
        <w:ind w:left="993" w:hanging="426"/>
        <w:rPr>
          <w:color w:val="17365D"/>
        </w:rPr>
      </w:pPr>
      <w:r w:rsidRPr="00D613A6">
        <w:rPr>
          <w:color w:val="17365D"/>
        </w:rPr>
        <w:t>Veselības</w:t>
      </w:r>
      <w:r w:rsidR="00FC7699" w:rsidRPr="00D613A6">
        <w:rPr>
          <w:color w:val="17365D"/>
        </w:rPr>
        <w:t xml:space="preserve"> min</w:t>
      </w:r>
      <w:r w:rsidR="006026E0" w:rsidRPr="00D613A6">
        <w:rPr>
          <w:color w:val="17365D"/>
        </w:rPr>
        <w:t>is</w:t>
      </w:r>
      <w:r w:rsidR="00FC7699" w:rsidRPr="00D613A6">
        <w:rPr>
          <w:color w:val="17365D"/>
        </w:rPr>
        <w:t>trija</w:t>
      </w:r>
      <w:r w:rsidR="009107A2" w:rsidRPr="00D613A6">
        <w:rPr>
          <w:color w:val="17365D"/>
        </w:rPr>
        <w:t>i</w:t>
      </w:r>
      <w:r w:rsidR="00FC7699" w:rsidRPr="00D613A6">
        <w:rPr>
          <w:color w:val="17365D"/>
        </w:rPr>
        <w:t xml:space="preserve"> </w:t>
      </w:r>
      <w:r w:rsidR="00C94FF5" w:rsidRPr="00D613A6">
        <w:rPr>
          <w:color w:val="17365D"/>
        </w:rPr>
        <w:t>atlīdzības pieaugums</w:t>
      </w:r>
      <w:r w:rsidR="00472184" w:rsidRPr="00D613A6">
        <w:rPr>
          <w:color w:val="17365D"/>
        </w:rPr>
        <w:t xml:space="preserve"> </w:t>
      </w:r>
      <w:r w:rsidR="002E6C59" w:rsidRPr="00D613A6">
        <w:rPr>
          <w:color w:val="17365D"/>
        </w:rPr>
        <w:t>akadēmiskajam personālam</w:t>
      </w:r>
      <w:r w:rsidR="00C40EFC" w:rsidRPr="00D613A6">
        <w:rPr>
          <w:color w:val="17365D"/>
        </w:rPr>
        <w:t>;</w:t>
      </w:r>
    </w:p>
    <w:p w14:paraId="6E023EF0" w14:textId="30411CB1" w:rsidR="00FC7699" w:rsidRPr="00D613A6" w:rsidRDefault="008C4620" w:rsidP="008750F0">
      <w:pPr>
        <w:pStyle w:val="Bullets"/>
        <w:numPr>
          <w:ilvl w:val="0"/>
          <w:numId w:val="7"/>
        </w:numPr>
        <w:ind w:left="993" w:hanging="426"/>
        <w:rPr>
          <w:color w:val="17365D"/>
        </w:rPr>
      </w:pPr>
      <w:r w:rsidRPr="00D613A6">
        <w:rPr>
          <w:color w:val="17365D"/>
        </w:rPr>
        <w:t>Ekonomikas</w:t>
      </w:r>
      <w:r w:rsidR="00C40EFC" w:rsidRPr="00D613A6">
        <w:rPr>
          <w:color w:val="17365D"/>
        </w:rPr>
        <w:t xml:space="preserve"> ministrijai izdevumu samazinājums</w:t>
      </w:r>
      <w:r w:rsidRPr="00D613A6">
        <w:rPr>
          <w:color w:val="17365D"/>
        </w:rPr>
        <w:t xml:space="preserve"> postenī </w:t>
      </w:r>
      <w:r w:rsidR="003F38DF" w:rsidRPr="00D613A6">
        <w:rPr>
          <w:color w:val="17365D"/>
        </w:rPr>
        <w:t>“P</w:t>
      </w:r>
      <w:r w:rsidR="00F43873" w:rsidRPr="00D613A6">
        <w:rPr>
          <w:color w:val="17365D"/>
        </w:rPr>
        <w:t>reces un pakalpojumi</w:t>
      </w:r>
      <w:r w:rsidR="003F38DF" w:rsidRPr="00D613A6">
        <w:rPr>
          <w:color w:val="17365D"/>
        </w:rPr>
        <w:t>”</w:t>
      </w:r>
      <w:r w:rsidR="00C40EFC" w:rsidRPr="00D613A6">
        <w:rPr>
          <w:color w:val="17365D"/>
        </w:rPr>
        <w:t xml:space="preserve"> </w:t>
      </w:r>
      <w:r w:rsidR="002E6C59" w:rsidRPr="00D613A6">
        <w:rPr>
          <w:color w:val="17365D"/>
        </w:rPr>
        <w:t>saistītas ar izdevumu samazinājumu valsts naftas rezervju nodrošināšanas pakalpojumiem, salīdzinot ar iepriekšējo pārskata periodu;</w:t>
      </w:r>
    </w:p>
    <w:p w14:paraId="25AFEBEB" w14:textId="481F0714" w:rsidR="0040796D" w:rsidRPr="00D613A6" w:rsidRDefault="0040796D" w:rsidP="00290660">
      <w:pPr>
        <w:pStyle w:val="Bullets"/>
        <w:numPr>
          <w:ilvl w:val="0"/>
          <w:numId w:val="0"/>
        </w:numPr>
        <w:ind w:firstLine="567"/>
        <w:rPr>
          <w:noProof w:val="0"/>
          <w:color w:val="17365D"/>
        </w:rPr>
      </w:pPr>
      <w:r w:rsidRPr="00D613A6">
        <w:rPr>
          <w:noProof w:val="0"/>
          <w:color w:val="17365D"/>
          <w:u w:val="single"/>
        </w:rPr>
        <w:t>postenim “Procentu izdevumi”</w:t>
      </w:r>
      <w:r w:rsidRPr="00D613A6">
        <w:rPr>
          <w:color w:val="17365D"/>
        </w:rPr>
        <w:t xml:space="preserve"> – </w:t>
      </w:r>
      <w:r w:rsidRPr="00D613A6">
        <w:rPr>
          <w:noProof w:val="0"/>
          <w:color w:val="17365D"/>
        </w:rPr>
        <w:t>pārskata perioda izdevumi ir 3</w:t>
      </w:r>
      <w:r w:rsidR="00D978FD" w:rsidRPr="00D613A6">
        <w:rPr>
          <w:noProof w:val="0"/>
          <w:color w:val="17365D"/>
        </w:rPr>
        <w:t>48,5</w:t>
      </w:r>
      <w:r w:rsidRPr="00D613A6">
        <w:rPr>
          <w:noProof w:val="0"/>
          <w:color w:val="17365D"/>
        </w:rPr>
        <w:t xml:space="preserve"> milj. </w:t>
      </w:r>
      <w:r w:rsidRPr="00D613A6">
        <w:rPr>
          <w:i/>
          <w:noProof w:val="0"/>
          <w:color w:val="17365D"/>
        </w:rPr>
        <w:t>euro</w:t>
      </w:r>
      <w:r w:rsidRPr="00D613A6">
        <w:rPr>
          <w:noProof w:val="0"/>
          <w:color w:val="17365D"/>
        </w:rPr>
        <w:t> vērtībā, kas, salīdzinot ar 2023. gadu, palielinājās par 1</w:t>
      </w:r>
      <w:r w:rsidR="00D978FD" w:rsidRPr="00D613A6">
        <w:rPr>
          <w:noProof w:val="0"/>
          <w:color w:val="17365D"/>
        </w:rPr>
        <w:t>52,7</w:t>
      </w:r>
      <w:r w:rsidRPr="00D613A6">
        <w:rPr>
          <w:noProof w:val="0"/>
          <w:color w:val="17365D"/>
        </w:rPr>
        <w:t xml:space="preserve"> milj. </w:t>
      </w:r>
      <w:r w:rsidRPr="00D613A6">
        <w:rPr>
          <w:i/>
          <w:noProof w:val="0"/>
          <w:color w:val="17365D"/>
        </w:rPr>
        <w:t>euro</w:t>
      </w:r>
      <w:r w:rsidRPr="00D613A6">
        <w:rPr>
          <w:noProof w:val="0"/>
          <w:color w:val="17365D"/>
        </w:rPr>
        <w:t xml:space="preserve"> jeb 7</w:t>
      </w:r>
      <w:r w:rsidR="00D978FD" w:rsidRPr="00D613A6">
        <w:rPr>
          <w:noProof w:val="0"/>
          <w:color w:val="17365D"/>
        </w:rPr>
        <w:t>7,97</w:t>
      </w:r>
      <w:r w:rsidRPr="00D613A6">
        <w:rPr>
          <w:noProof w:val="0"/>
          <w:color w:val="17365D"/>
        </w:rPr>
        <w:t> %.</w:t>
      </w:r>
      <w:r w:rsidRPr="00D613A6">
        <w:rPr>
          <w:color w:val="17365D"/>
        </w:rPr>
        <w:t xml:space="preserve"> </w:t>
      </w:r>
      <w:r w:rsidRPr="00D613A6">
        <w:rPr>
          <w:noProof w:val="0"/>
          <w:color w:val="17365D"/>
        </w:rPr>
        <w:t xml:space="preserve">Būtiskākās šī posteņa izmaiņas ir Finanšu ministrijai </w:t>
      </w:r>
      <w:r w:rsidR="006D79E7" w:rsidRPr="00D613A6">
        <w:rPr>
          <w:noProof w:val="0"/>
          <w:color w:val="17365D"/>
        </w:rPr>
        <w:t>152,0</w:t>
      </w:r>
      <w:r w:rsidRPr="00D613A6">
        <w:rPr>
          <w:noProof w:val="0"/>
          <w:color w:val="17365D"/>
        </w:rPr>
        <w:t> milj. </w:t>
      </w:r>
      <w:r w:rsidRPr="00D613A6">
        <w:rPr>
          <w:i/>
          <w:noProof w:val="0"/>
          <w:color w:val="17365D"/>
        </w:rPr>
        <w:t>euro</w:t>
      </w:r>
      <w:r w:rsidR="006D79E7" w:rsidRPr="00D613A6">
        <w:rPr>
          <w:i/>
          <w:noProof w:val="0"/>
          <w:color w:val="17365D"/>
        </w:rPr>
        <w:t>.</w:t>
      </w:r>
    </w:p>
    <w:p w14:paraId="40F8E2B1" w14:textId="09A7286B" w:rsidR="00F43873" w:rsidRPr="00D613A6" w:rsidRDefault="00F43873" w:rsidP="003F38DF">
      <w:pPr>
        <w:pStyle w:val="Pamatteksts1"/>
        <w:rPr>
          <w:color w:val="17365D"/>
        </w:rPr>
      </w:pPr>
      <w:r w:rsidRPr="00D613A6">
        <w:rPr>
          <w:color w:val="17365D"/>
          <w:u w:val="single"/>
        </w:rPr>
        <w:lastRenderedPageBreak/>
        <w:t xml:space="preserve">postenim “Subsīdijas, dotācijas un </w:t>
      </w:r>
      <w:r w:rsidR="00D978FD" w:rsidRPr="00D613A6">
        <w:rPr>
          <w:color w:val="17365D"/>
          <w:u w:val="single"/>
        </w:rPr>
        <w:t>sociāla rakstura maksājumi un kompensācijas</w:t>
      </w:r>
      <w:r w:rsidRPr="00D613A6">
        <w:rPr>
          <w:color w:val="17365D"/>
          <w:u w:val="single"/>
        </w:rPr>
        <w:t>”</w:t>
      </w:r>
      <w:r w:rsidRPr="00D613A6">
        <w:rPr>
          <w:color w:val="17365D"/>
        </w:rPr>
        <w:t xml:space="preserve"> </w:t>
      </w:r>
      <w:r w:rsidRPr="00D613A6">
        <w:rPr>
          <w:noProof w:val="0"/>
          <w:color w:val="17365D"/>
        </w:rPr>
        <w:t xml:space="preserve">pārskata periodā veikti izdevumi </w:t>
      </w:r>
      <w:r w:rsidR="00893F33" w:rsidRPr="00D613A6">
        <w:rPr>
          <w:color w:val="17365D"/>
        </w:rPr>
        <w:t>4</w:t>
      </w:r>
      <w:r w:rsidR="00423E9A" w:rsidRPr="00D613A6">
        <w:rPr>
          <w:color w:val="17365D"/>
        </w:rPr>
        <w:t> 446,8</w:t>
      </w:r>
      <w:r w:rsidR="00893F33" w:rsidRPr="00D613A6">
        <w:rPr>
          <w:color w:val="17365D"/>
        </w:rPr>
        <w:t> </w:t>
      </w:r>
      <w:r w:rsidRPr="00D613A6">
        <w:rPr>
          <w:noProof w:val="0"/>
          <w:color w:val="17365D"/>
        </w:rPr>
        <w:t xml:space="preserve">milj. </w:t>
      </w:r>
      <w:r w:rsidRPr="00D613A6">
        <w:rPr>
          <w:i/>
          <w:noProof w:val="0"/>
          <w:color w:val="17365D"/>
        </w:rPr>
        <w:t xml:space="preserve">euro </w:t>
      </w:r>
      <w:r w:rsidRPr="00D613A6">
        <w:rPr>
          <w:color w:val="17365D"/>
        </w:rPr>
        <w:t>vērtībā</w:t>
      </w:r>
      <w:r w:rsidR="00893F33" w:rsidRPr="00D613A6">
        <w:rPr>
          <w:noProof w:val="0"/>
          <w:color w:val="17365D"/>
        </w:rPr>
        <w:t>, kas salīdzinājumā ar 2023</w:t>
      </w:r>
      <w:r w:rsidRPr="00D613A6">
        <w:rPr>
          <w:noProof w:val="0"/>
          <w:color w:val="17365D"/>
        </w:rPr>
        <w:t xml:space="preserve">. gadu ir par </w:t>
      </w:r>
      <w:r w:rsidR="00893F33" w:rsidRPr="00D613A6">
        <w:rPr>
          <w:noProof w:val="0"/>
          <w:color w:val="17365D"/>
        </w:rPr>
        <w:t>4</w:t>
      </w:r>
      <w:r w:rsidR="00423E9A" w:rsidRPr="00D613A6">
        <w:rPr>
          <w:noProof w:val="0"/>
          <w:color w:val="17365D"/>
        </w:rPr>
        <w:t>7</w:t>
      </w:r>
      <w:r w:rsidRPr="00D613A6">
        <w:rPr>
          <w:noProof w:val="0"/>
          <w:color w:val="17365D"/>
        </w:rPr>
        <w:t>,</w:t>
      </w:r>
      <w:r w:rsidR="00423E9A" w:rsidRPr="00D613A6">
        <w:rPr>
          <w:noProof w:val="0"/>
          <w:color w:val="17365D"/>
        </w:rPr>
        <w:t>8</w:t>
      </w:r>
      <w:r w:rsidRPr="00D613A6">
        <w:rPr>
          <w:noProof w:val="0"/>
          <w:color w:val="17365D"/>
        </w:rPr>
        <w:t xml:space="preserve"> milj. </w:t>
      </w:r>
      <w:r w:rsidRPr="00D613A6">
        <w:rPr>
          <w:i/>
          <w:noProof w:val="0"/>
          <w:color w:val="17365D"/>
        </w:rPr>
        <w:t>euro</w:t>
      </w:r>
      <w:r w:rsidRPr="00D613A6">
        <w:rPr>
          <w:noProof w:val="0"/>
          <w:color w:val="17365D"/>
        </w:rPr>
        <w:t xml:space="preserve"> jeb 1,</w:t>
      </w:r>
      <w:r w:rsidR="00423E9A" w:rsidRPr="00D613A6">
        <w:rPr>
          <w:noProof w:val="0"/>
          <w:color w:val="17365D"/>
        </w:rPr>
        <w:t>09</w:t>
      </w:r>
      <w:r w:rsidRPr="00D613A6">
        <w:rPr>
          <w:color w:val="17365D"/>
        </w:rPr>
        <w:t> </w:t>
      </w:r>
      <w:r w:rsidRPr="00D613A6">
        <w:rPr>
          <w:noProof w:val="0"/>
          <w:color w:val="17365D"/>
        </w:rPr>
        <w:t xml:space="preserve">% vairāk. Kopumā šim postenim izmaiņas nav būtiskas, bet vērtējot detalizētāk, postenim “Sociāla rakstura maksājumi un kompensācijas” veikti izdevumi </w:t>
      </w:r>
      <w:r w:rsidR="007F46D6" w:rsidRPr="00D613A6">
        <w:rPr>
          <w:noProof w:val="0"/>
          <w:color w:val="17365D"/>
        </w:rPr>
        <w:t>674</w:t>
      </w:r>
      <w:r w:rsidRPr="00D613A6">
        <w:rPr>
          <w:noProof w:val="0"/>
          <w:color w:val="17365D"/>
        </w:rPr>
        <w:t>,</w:t>
      </w:r>
      <w:r w:rsidR="007F46D6" w:rsidRPr="00D613A6">
        <w:rPr>
          <w:noProof w:val="0"/>
          <w:color w:val="17365D"/>
        </w:rPr>
        <w:t>2</w:t>
      </w:r>
      <w:r w:rsidR="00D613A6">
        <w:rPr>
          <w:color w:val="17365D"/>
        </w:rPr>
        <w:t> </w:t>
      </w:r>
      <w:r w:rsidR="009107A2" w:rsidRPr="00D613A6">
        <w:rPr>
          <w:noProof w:val="0"/>
          <w:color w:val="17365D"/>
        </w:rPr>
        <w:t>milj. </w:t>
      </w:r>
      <w:r w:rsidRPr="00D613A6">
        <w:rPr>
          <w:i/>
          <w:noProof w:val="0"/>
          <w:color w:val="17365D"/>
        </w:rPr>
        <w:t>euro</w:t>
      </w:r>
      <w:r w:rsidR="009107A2" w:rsidRPr="00D613A6">
        <w:rPr>
          <w:noProof w:val="0"/>
          <w:color w:val="17365D"/>
        </w:rPr>
        <w:t xml:space="preserve"> </w:t>
      </w:r>
      <w:r w:rsidRPr="00D613A6">
        <w:rPr>
          <w:noProof w:val="0"/>
          <w:color w:val="17365D"/>
        </w:rPr>
        <w:t>vērtībā, kas salīdzinājumā ar 202</w:t>
      </w:r>
      <w:r w:rsidR="007F46D6" w:rsidRPr="00D613A6">
        <w:rPr>
          <w:noProof w:val="0"/>
          <w:color w:val="17365D"/>
        </w:rPr>
        <w:t>3</w:t>
      </w:r>
      <w:r w:rsidRPr="00D613A6">
        <w:rPr>
          <w:noProof w:val="0"/>
          <w:color w:val="17365D"/>
        </w:rPr>
        <w:t>.</w:t>
      </w:r>
      <w:r w:rsidR="003F38DF" w:rsidRPr="00D613A6">
        <w:rPr>
          <w:color w:val="17365D"/>
        </w:rPr>
        <w:t> </w:t>
      </w:r>
      <w:r w:rsidRPr="00D613A6">
        <w:rPr>
          <w:noProof w:val="0"/>
          <w:color w:val="17365D"/>
        </w:rPr>
        <w:t xml:space="preserve">gadu ir par </w:t>
      </w:r>
      <w:r w:rsidR="007F46D6" w:rsidRPr="00D613A6">
        <w:rPr>
          <w:noProof w:val="0"/>
          <w:color w:val="17365D"/>
        </w:rPr>
        <w:t>40</w:t>
      </w:r>
      <w:r w:rsidRPr="00D613A6">
        <w:rPr>
          <w:noProof w:val="0"/>
          <w:color w:val="17365D"/>
        </w:rPr>
        <w:t xml:space="preserve">,7 milj. </w:t>
      </w:r>
      <w:r w:rsidRPr="00D613A6">
        <w:rPr>
          <w:i/>
          <w:noProof w:val="0"/>
          <w:color w:val="17365D"/>
        </w:rPr>
        <w:t>euro</w:t>
      </w:r>
      <w:r w:rsidRPr="00D613A6">
        <w:rPr>
          <w:noProof w:val="0"/>
          <w:color w:val="17365D"/>
        </w:rPr>
        <w:t xml:space="preserve"> jeb </w:t>
      </w:r>
      <w:r w:rsidR="007F46D6" w:rsidRPr="00D613A6">
        <w:rPr>
          <w:noProof w:val="0"/>
          <w:color w:val="17365D"/>
        </w:rPr>
        <w:t>6</w:t>
      </w:r>
      <w:r w:rsidRPr="00D613A6">
        <w:rPr>
          <w:noProof w:val="0"/>
          <w:color w:val="17365D"/>
        </w:rPr>
        <w:t>,</w:t>
      </w:r>
      <w:r w:rsidR="007F46D6" w:rsidRPr="00D613A6">
        <w:rPr>
          <w:noProof w:val="0"/>
          <w:color w:val="17365D"/>
        </w:rPr>
        <w:t>43</w:t>
      </w:r>
      <w:r w:rsidRPr="00D613A6">
        <w:rPr>
          <w:noProof w:val="0"/>
          <w:color w:val="17365D"/>
        </w:rPr>
        <w:t xml:space="preserve"> % </w:t>
      </w:r>
      <w:r w:rsidR="007F46D6" w:rsidRPr="00D613A6">
        <w:rPr>
          <w:noProof w:val="0"/>
          <w:color w:val="17365D"/>
        </w:rPr>
        <w:t>vairāk</w:t>
      </w:r>
      <w:r w:rsidRPr="00D613A6">
        <w:rPr>
          <w:noProof w:val="0"/>
          <w:color w:val="17365D"/>
        </w:rPr>
        <w:t>.</w:t>
      </w:r>
      <w:r w:rsidR="007B67A8" w:rsidRPr="00D613A6">
        <w:rPr>
          <w:noProof w:val="0"/>
          <w:color w:val="17365D"/>
        </w:rPr>
        <w:t xml:space="preserve"> Būtiskākais </w:t>
      </w:r>
      <w:r w:rsidR="00A956AE" w:rsidRPr="00D613A6">
        <w:rPr>
          <w:noProof w:val="0"/>
          <w:color w:val="17365D"/>
        </w:rPr>
        <w:t>palielinājums</w:t>
      </w:r>
      <w:r w:rsidR="007B67A8" w:rsidRPr="00D613A6">
        <w:rPr>
          <w:noProof w:val="0"/>
          <w:color w:val="17365D"/>
        </w:rPr>
        <w:t xml:space="preserve"> ir </w:t>
      </w:r>
      <w:r w:rsidR="00A956AE" w:rsidRPr="00D613A6">
        <w:rPr>
          <w:noProof w:val="0"/>
          <w:color w:val="17365D"/>
        </w:rPr>
        <w:t>Finanšu</w:t>
      </w:r>
      <w:r w:rsidR="009C3B62" w:rsidRPr="00D613A6">
        <w:rPr>
          <w:noProof w:val="0"/>
          <w:color w:val="17365D"/>
        </w:rPr>
        <w:t xml:space="preserve"> ministrijai</w:t>
      </w:r>
      <w:r w:rsidR="007B67A8" w:rsidRPr="00D613A6">
        <w:rPr>
          <w:noProof w:val="0"/>
          <w:color w:val="17365D"/>
        </w:rPr>
        <w:t xml:space="preserve"> </w:t>
      </w:r>
      <w:r w:rsidR="00A956AE" w:rsidRPr="00D613A6">
        <w:rPr>
          <w:noProof w:val="0"/>
          <w:color w:val="17365D"/>
        </w:rPr>
        <w:t>60,7</w:t>
      </w:r>
      <w:r w:rsidR="007B67A8" w:rsidRPr="00D613A6">
        <w:rPr>
          <w:noProof w:val="0"/>
          <w:color w:val="17365D"/>
        </w:rPr>
        <w:t xml:space="preserve"> milj. </w:t>
      </w:r>
      <w:r w:rsidR="007B67A8" w:rsidRPr="00D613A6">
        <w:rPr>
          <w:i/>
          <w:noProof w:val="0"/>
          <w:color w:val="17365D"/>
        </w:rPr>
        <w:t>euro</w:t>
      </w:r>
      <w:r w:rsidR="007B67A8" w:rsidRPr="00D613A6">
        <w:rPr>
          <w:noProof w:val="0"/>
          <w:color w:val="17365D"/>
        </w:rPr>
        <w:t>, kas galvenokā</w:t>
      </w:r>
      <w:r w:rsidR="00A956AE" w:rsidRPr="00D613A6">
        <w:rPr>
          <w:noProof w:val="0"/>
          <w:color w:val="17365D"/>
        </w:rPr>
        <w:t>rt saistīts ar papildu piešķirto finansējumu</w:t>
      </w:r>
      <w:r w:rsidR="007B67A8" w:rsidRPr="00D613A6">
        <w:rPr>
          <w:noProof w:val="0"/>
          <w:color w:val="17365D"/>
        </w:rPr>
        <w:t xml:space="preserve"> </w:t>
      </w:r>
      <w:r w:rsidR="00A956AE" w:rsidRPr="00D613A6">
        <w:rPr>
          <w:noProof w:val="0"/>
          <w:color w:val="17365D"/>
        </w:rPr>
        <w:t xml:space="preserve">Latvijas Loto simtgades stipendiju projekta turpināšanai, kā arī palielinot </w:t>
      </w:r>
      <w:r w:rsidR="00290660" w:rsidRPr="00D613A6">
        <w:rPr>
          <w:noProof w:val="0"/>
          <w:color w:val="17365D"/>
        </w:rPr>
        <w:t xml:space="preserve">programmā “Mērķdotācijas pašvaldībām” </w:t>
      </w:r>
      <w:r w:rsidR="00A956AE" w:rsidRPr="00D613A6">
        <w:rPr>
          <w:noProof w:val="0"/>
          <w:color w:val="17365D"/>
        </w:rPr>
        <w:t>izmaksājamās stipendijas apjomu vispārējās vidējās izglītības un profesionālās vidējās izglītības ieguvējiem</w:t>
      </w:r>
      <w:r w:rsidR="007B67A8" w:rsidRPr="00D613A6">
        <w:rPr>
          <w:noProof w:val="0"/>
          <w:color w:val="17365D"/>
        </w:rPr>
        <w:t>.</w:t>
      </w:r>
    </w:p>
    <w:p w14:paraId="0E750466" w14:textId="19CDA97E" w:rsidR="009D6F09" w:rsidRPr="00D613A6" w:rsidRDefault="009D6F09" w:rsidP="00833DED">
      <w:pPr>
        <w:pStyle w:val="Pamatteksts1"/>
        <w:rPr>
          <w:noProof w:val="0"/>
          <w:color w:val="17365D"/>
        </w:rPr>
      </w:pPr>
      <w:r w:rsidRPr="00D613A6">
        <w:rPr>
          <w:noProof w:val="0"/>
          <w:color w:val="17365D"/>
          <w:u w:val="single"/>
        </w:rPr>
        <w:t>posteni</w:t>
      </w:r>
      <w:r w:rsidR="003E5AA2" w:rsidRPr="00D613A6">
        <w:rPr>
          <w:noProof w:val="0"/>
          <w:color w:val="17365D"/>
          <w:u w:val="single"/>
        </w:rPr>
        <w:t>m</w:t>
      </w:r>
      <w:r w:rsidRPr="00D613A6">
        <w:rPr>
          <w:noProof w:val="0"/>
          <w:color w:val="17365D"/>
          <w:u w:val="single"/>
        </w:rPr>
        <w:t xml:space="preserve"> “</w:t>
      </w:r>
      <w:r w:rsidR="00EE5AB0" w:rsidRPr="00D613A6">
        <w:rPr>
          <w:bCs/>
          <w:noProof w:val="0"/>
          <w:color w:val="17365D"/>
          <w:u w:val="single"/>
        </w:rPr>
        <w:t>Pamatkapitāla veidošana</w:t>
      </w:r>
      <w:r w:rsidRPr="00D613A6">
        <w:rPr>
          <w:noProof w:val="0"/>
          <w:color w:val="17365D"/>
          <w:u w:val="single"/>
        </w:rPr>
        <w:t>”</w:t>
      </w:r>
      <w:r w:rsidR="005C4207" w:rsidRPr="00D613A6">
        <w:rPr>
          <w:noProof w:val="0"/>
          <w:color w:val="17365D"/>
        </w:rPr>
        <w:t xml:space="preserve"> – pārskata periodā </w:t>
      </w:r>
      <w:r w:rsidRPr="00D613A6">
        <w:rPr>
          <w:noProof w:val="0"/>
          <w:color w:val="17365D"/>
        </w:rPr>
        <w:t xml:space="preserve">veikti </w:t>
      </w:r>
      <w:r w:rsidR="00D471E8" w:rsidRPr="00D613A6">
        <w:rPr>
          <w:noProof w:val="0"/>
          <w:color w:val="17365D"/>
        </w:rPr>
        <w:t xml:space="preserve">izdevumi </w:t>
      </w:r>
      <w:r w:rsidR="00893F33" w:rsidRPr="00D613A6">
        <w:rPr>
          <w:color w:val="17365D"/>
        </w:rPr>
        <w:t>1 023,2</w:t>
      </w:r>
      <w:r w:rsidR="00F171CB" w:rsidRPr="00D613A6">
        <w:rPr>
          <w:color w:val="17365D"/>
        </w:rPr>
        <w:t> </w:t>
      </w:r>
      <w:r w:rsidRPr="00D613A6">
        <w:rPr>
          <w:noProof w:val="0"/>
          <w:color w:val="17365D"/>
        </w:rPr>
        <w:t xml:space="preserve">milj. </w:t>
      </w:r>
      <w:r w:rsidRPr="00D613A6">
        <w:rPr>
          <w:i/>
          <w:noProof w:val="0"/>
          <w:color w:val="17365D"/>
        </w:rPr>
        <w:t>euro</w:t>
      </w:r>
      <w:r w:rsidR="003B3908" w:rsidRPr="00D613A6">
        <w:rPr>
          <w:i/>
          <w:noProof w:val="0"/>
          <w:color w:val="17365D"/>
        </w:rPr>
        <w:t xml:space="preserve"> </w:t>
      </w:r>
      <w:r w:rsidR="003B3908" w:rsidRPr="00D613A6">
        <w:rPr>
          <w:color w:val="17365D"/>
        </w:rPr>
        <w:t>vērtībā</w:t>
      </w:r>
      <w:r w:rsidRPr="00D613A6">
        <w:rPr>
          <w:noProof w:val="0"/>
          <w:color w:val="17365D"/>
        </w:rPr>
        <w:t>, kas sal</w:t>
      </w:r>
      <w:r w:rsidR="005C4207" w:rsidRPr="00D613A6">
        <w:rPr>
          <w:noProof w:val="0"/>
          <w:color w:val="17365D"/>
        </w:rPr>
        <w:t>īdzinājumā ar 20</w:t>
      </w:r>
      <w:r w:rsidR="00F81205" w:rsidRPr="00D613A6">
        <w:rPr>
          <w:noProof w:val="0"/>
          <w:color w:val="17365D"/>
        </w:rPr>
        <w:t>2</w:t>
      </w:r>
      <w:r w:rsidR="00893F33" w:rsidRPr="00D613A6">
        <w:rPr>
          <w:noProof w:val="0"/>
          <w:color w:val="17365D"/>
        </w:rPr>
        <w:t>3</w:t>
      </w:r>
      <w:r w:rsidR="005C4207" w:rsidRPr="00D613A6">
        <w:rPr>
          <w:noProof w:val="0"/>
          <w:color w:val="17365D"/>
        </w:rPr>
        <w:t>. </w:t>
      </w:r>
      <w:r w:rsidRPr="00D613A6">
        <w:rPr>
          <w:noProof w:val="0"/>
          <w:color w:val="17365D"/>
        </w:rPr>
        <w:t xml:space="preserve">gadu ir par </w:t>
      </w:r>
      <w:r w:rsidR="00C354C1" w:rsidRPr="00D613A6">
        <w:rPr>
          <w:noProof w:val="0"/>
          <w:color w:val="17365D"/>
        </w:rPr>
        <w:t>1</w:t>
      </w:r>
      <w:r w:rsidR="00893F33" w:rsidRPr="00D613A6">
        <w:rPr>
          <w:noProof w:val="0"/>
          <w:color w:val="17365D"/>
        </w:rPr>
        <w:t>79</w:t>
      </w:r>
      <w:r w:rsidRPr="00D613A6">
        <w:rPr>
          <w:noProof w:val="0"/>
          <w:color w:val="17365D"/>
        </w:rPr>
        <w:t>,</w:t>
      </w:r>
      <w:r w:rsidR="00C354C1" w:rsidRPr="00D613A6">
        <w:rPr>
          <w:noProof w:val="0"/>
          <w:color w:val="17365D"/>
        </w:rPr>
        <w:t>7</w:t>
      </w:r>
      <w:r w:rsidR="009957FA" w:rsidRPr="00D613A6">
        <w:rPr>
          <w:noProof w:val="0"/>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jeb </w:t>
      </w:r>
      <w:r w:rsidR="00C354C1" w:rsidRPr="00D613A6">
        <w:rPr>
          <w:noProof w:val="0"/>
          <w:color w:val="17365D"/>
        </w:rPr>
        <w:t>2</w:t>
      </w:r>
      <w:r w:rsidR="00893F33" w:rsidRPr="00D613A6">
        <w:rPr>
          <w:noProof w:val="0"/>
          <w:color w:val="17365D"/>
        </w:rPr>
        <w:t>1</w:t>
      </w:r>
      <w:r w:rsidRPr="00D613A6">
        <w:rPr>
          <w:noProof w:val="0"/>
          <w:color w:val="17365D"/>
        </w:rPr>
        <w:t>,</w:t>
      </w:r>
      <w:r w:rsidR="00893F33" w:rsidRPr="00D613A6">
        <w:rPr>
          <w:noProof w:val="0"/>
          <w:color w:val="17365D"/>
        </w:rPr>
        <w:t>30</w:t>
      </w:r>
      <w:r w:rsidR="004B35F9" w:rsidRPr="00D613A6">
        <w:rPr>
          <w:color w:val="17365D"/>
        </w:rPr>
        <w:t> </w:t>
      </w:r>
      <w:r w:rsidRPr="00D613A6">
        <w:rPr>
          <w:noProof w:val="0"/>
          <w:color w:val="17365D"/>
        </w:rPr>
        <w:t xml:space="preserve">% vairāk. Būtiskākais pieaugums ir </w:t>
      </w:r>
      <w:r w:rsidR="008577F2" w:rsidRPr="00D613A6">
        <w:rPr>
          <w:noProof w:val="0"/>
          <w:color w:val="17365D"/>
        </w:rPr>
        <w:t>Aizsardzības</w:t>
      </w:r>
      <w:r w:rsidR="00C46882" w:rsidRPr="00D613A6">
        <w:rPr>
          <w:noProof w:val="0"/>
          <w:color w:val="17365D"/>
        </w:rPr>
        <w:t xml:space="preserve"> ministrijai</w:t>
      </w:r>
      <w:r w:rsidR="00F30A98" w:rsidRPr="00D613A6">
        <w:rPr>
          <w:noProof w:val="0"/>
          <w:color w:val="17365D"/>
        </w:rPr>
        <w:t xml:space="preserve"> </w:t>
      </w:r>
      <w:r w:rsidR="008577F2" w:rsidRPr="00D613A6">
        <w:rPr>
          <w:noProof w:val="0"/>
          <w:color w:val="17365D"/>
        </w:rPr>
        <w:t>138</w:t>
      </w:r>
      <w:r w:rsidRPr="00D613A6">
        <w:rPr>
          <w:noProof w:val="0"/>
          <w:color w:val="17365D"/>
        </w:rPr>
        <w:t>,</w:t>
      </w:r>
      <w:r w:rsidR="008577F2" w:rsidRPr="00D613A6">
        <w:rPr>
          <w:noProof w:val="0"/>
          <w:color w:val="17365D"/>
        </w:rPr>
        <w:t>9</w:t>
      </w:r>
      <w:r w:rsidR="00F171CB" w:rsidRPr="00D613A6">
        <w:rPr>
          <w:noProof w:val="0"/>
          <w:color w:val="17365D"/>
        </w:rPr>
        <w:t> </w:t>
      </w:r>
      <w:r w:rsidRPr="00D613A6">
        <w:rPr>
          <w:noProof w:val="0"/>
          <w:color w:val="17365D"/>
        </w:rPr>
        <w:t xml:space="preserve">milj. </w:t>
      </w:r>
      <w:r w:rsidRPr="00D613A6">
        <w:rPr>
          <w:i/>
          <w:noProof w:val="0"/>
          <w:color w:val="17365D"/>
        </w:rPr>
        <w:t>euro</w:t>
      </w:r>
      <w:r w:rsidR="00E41248" w:rsidRPr="00D613A6">
        <w:rPr>
          <w:noProof w:val="0"/>
          <w:color w:val="17365D"/>
        </w:rPr>
        <w:t xml:space="preserve">, </w:t>
      </w:r>
      <w:r w:rsidR="008577F2" w:rsidRPr="00D613A6">
        <w:rPr>
          <w:noProof w:val="0"/>
          <w:color w:val="17365D"/>
        </w:rPr>
        <w:t>Tieslietu</w:t>
      </w:r>
      <w:r w:rsidR="00C46882" w:rsidRPr="00D613A6">
        <w:rPr>
          <w:noProof w:val="0"/>
          <w:color w:val="17365D"/>
        </w:rPr>
        <w:t xml:space="preserve"> ministrijai </w:t>
      </w:r>
      <w:r w:rsidR="008577F2" w:rsidRPr="00D613A6">
        <w:rPr>
          <w:noProof w:val="0"/>
          <w:color w:val="17365D"/>
        </w:rPr>
        <w:t>61</w:t>
      </w:r>
      <w:r w:rsidR="00C46882" w:rsidRPr="00D613A6">
        <w:rPr>
          <w:noProof w:val="0"/>
          <w:color w:val="17365D"/>
        </w:rPr>
        <w:t>,</w:t>
      </w:r>
      <w:r w:rsidR="008577F2" w:rsidRPr="00D613A6">
        <w:rPr>
          <w:noProof w:val="0"/>
          <w:color w:val="17365D"/>
        </w:rPr>
        <w:t>8</w:t>
      </w:r>
      <w:r w:rsidR="00C46882" w:rsidRPr="00D613A6">
        <w:rPr>
          <w:noProof w:val="0"/>
          <w:color w:val="17365D"/>
        </w:rPr>
        <w:t> milj.</w:t>
      </w:r>
      <w:r w:rsidR="00114C3F" w:rsidRPr="00D613A6">
        <w:rPr>
          <w:color w:val="17365D"/>
        </w:rPr>
        <w:t> </w:t>
      </w:r>
      <w:r w:rsidR="00C46882" w:rsidRPr="00D613A6">
        <w:rPr>
          <w:i/>
          <w:noProof w:val="0"/>
          <w:color w:val="17365D"/>
        </w:rPr>
        <w:t>euro</w:t>
      </w:r>
      <w:r w:rsidR="00C46882" w:rsidRPr="00D613A6">
        <w:rPr>
          <w:noProof w:val="0"/>
          <w:color w:val="17365D"/>
        </w:rPr>
        <w:t xml:space="preserve"> un </w:t>
      </w:r>
      <w:r w:rsidR="008577F2" w:rsidRPr="00D613A6">
        <w:rPr>
          <w:noProof w:val="0"/>
          <w:color w:val="17365D"/>
        </w:rPr>
        <w:t>Iekšlietu</w:t>
      </w:r>
      <w:r w:rsidR="00667385" w:rsidRPr="00D613A6">
        <w:rPr>
          <w:noProof w:val="0"/>
          <w:color w:val="17365D"/>
        </w:rPr>
        <w:t xml:space="preserve"> ministrijai</w:t>
      </w:r>
      <w:r w:rsidR="008577F2" w:rsidRPr="00D613A6">
        <w:rPr>
          <w:noProof w:val="0"/>
          <w:color w:val="17365D"/>
        </w:rPr>
        <w:t xml:space="preserve"> 4</w:t>
      </w:r>
      <w:r w:rsidR="00C46882" w:rsidRPr="00D613A6">
        <w:rPr>
          <w:noProof w:val="0"/>
          <w:color w:val="17365D"/>
        </w:rPr>
        <w:t>7</w:t>
      </w:r>
      <w:r w:rsidRPr="00D613A6">
        <w:rPr>
          <w:noProof w:val="0"/>
          <w:color w:val="17365D"/>
        </w:rPr>
        <w:t>,</w:t>
      </w:r>
      <w:r w:rsidR="008577F2" w:rsidRPr="00D613A6">
        <w:rPr>
          <w:noProof w:val="0"/>
          <w:color w:val="17365D"/>
        </w:rPr>
        <w:t>8</w:t>
      </w:r>
      <w:r w:rsidR="004B35F9" w:rsidRPr="00D613A6">
        <w:rPr>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bet samazinājums – </w:t>
      </w:r>
      <w:r w:rsidR="008577F2" w:rsidRPr="00D613A6">
        <w:rPr>
          <w:noProof w:val="0"/>
          <w:color w:val="17365D"/>
        </w:rPr>
        <w:t>Finanšu</w:t>
      </w:r>
      <w:r w:rsidR="003743E6" w:rsidRPr="00D613A6">
        <w:rPr>
          <w:noProof w:val="0"/>
          <w:color w:val="17365D"/>
        </w:rPr>
        <w:t xml:space="preserve"> ministrijai</w:t>
      </w:r>
      <w:r w:rsidRPr="00D613A6">
        <w:rPr>
          <w:noProof w:val="0"/>
          <w:color w:val="17365D"/>
        </w:rPr>
        <w:t xml:space="preserve"> </w:t>
      </w:r>
      <w:r w:rsidR="003F38DF" w:rsidRPr="00D613A6">
        <w:rPr>
          <w:noProof w:val="0"/>
          <w:color w:val="17365D"/>
        </w:rPr>
        <w:t>(</w:t>
      </w:r>
      <w:r w:rsidR="008577F2" w:rsidRPr="00D613A6">
        <w:rPr>
          <w:noProof w:val="0"/>
          <w:color w:val="17365D"/>
        </w:rPr>
        <w:t>58</w:t>
      </w:r>
      <w:r w:rsidRPr="00D613A6">
        <w:rPr>
          <w:noProof w:val="0"/>
          <w:color w:val="17365D"/>
        </w:rPr>
        <w:t>,</w:t>
      </w:r>
      <w:r w:rsidR="008577F2" w:rsidRPr="00D613A6">
        <w:rPr>
          <w:noProof w:val="0"/>
          <w:color w:val="17365D"/>
        </w:rPr>
        <w:t>0</w:t>
      </w:r>
      <w:r w:rsidR="003F38DF" w:rsidRPr="00D613A6">
        <w:rPr>
          <w:noProof w:val="0"/>
          <w:color w:val="17365D"/>
        </w:rPr>
        <w:t>)</w:t>
      </w:r>
      <w:r w:rsidR="00C46882" w:rsidRPr="00D613A6">
        <w:rPr>
          <w:noProof w:val="0"/>
          <w:color w:val="17365D"/>
        </w:rPr>
        <w:t xml:space="preserve"> </w:t>
      </w:r>
      <w:r w:rsidRPr="00D613A6">
        <w:rPr>
          <w:noProof w:val="0"/>
          <w:color w:val="17365D"/>
        </w:rPr>
        <w:t xml:space="preserve">milj. </w:t>
      </w:r>
      <w:r w:rsidRPr="00D613A6">
        <w:rPr>
          <w:i/>
          <w:noProof w:val="0"/>
          <w:color w:val="17365D"/>
        </w:rPr>
        <w:t>euro</w:t>
      </w:r>
      <w:r w:rsidRPr="00D613A6">
        <w:rPr>
          <w:noProof w:val="0"/>
          <w:color w:val="17365D"/>
        </w:rPr>
        <w:t>.</w:t>
      </w:r>
      <w:r w:rsidR="003E5AA2" w:rsidRPr="00D613A6">
        <w:rPr>
          <w:noProof w:val="0"/>
          <w:color w:val="17365D"/>
        </w:rPr>
        <w:t xml:space="preserve"> </w:t>
      </w:r>
      <w:r w:rsidRPr="00D613A6">
        <w:rPr>
          <w:noProof w:val="0"/>
          <w:color w:val="17365D"/>
        </w:rPr>
        <w:t>Izmaiņas galvenokārt ietekmēja:</w:t>
      </w:r>
    </w:p>
    <w:p w14:paraId="3A368151" w14:textId="4B32FB11" w:rsidR="009D6F09" w:rsidRPr="00D613A6" w:rsidRDefault="008577F2" w:rsidP="001E47A7">
      <w:pPr>
        <w:pStyle w:val="Bullets"/>
        <w:numPr>
          <w:ilvl w:val="0"/>
          <w:numId w:val="7"/>
        </w:numPr>
        <w:ind w:left="993" w:hanging="426"/>
        <w:rPr>
          <w:color w:val="17365D"/>
        </w:rPr>
      </w:pPr>
      <w:r w:rsidRPr="00D613A6">
        <w:rPr>
          <w:color w:val="17365D"/>
        </w:rPr>
        <w:t>Aizsardzības</w:t>
      </w:r>
      <w:r w:rsidR="00C46882" w:rsidRPr="00D613A6">
        <w:rPr>
          <w:color w:val="17365D"/>
        </w:rPr>
        <w:t xml:space="preserve"> ministrijai</w:t>
      </w:r>
      <w:r w:rsidR="00E41248" w:rsidRPr="00D613A6">
        <w:rPr>
          <w:color w:val="17365D"/>
        </w:rPr>
        <w:t xml:space="preserve"> </w:t>
      </w:r>
      <w:r w:rsidRPr="00D613A6">
        <w:rPr>
          <w:color w:val="17365D"/>
        </w:rPr>
        <w:t>izmaiņu palielinājumu veido darījumi, t.sk. par  militārās tehnikas, bezpilotu līdaparātu un citu iekārtu iegādi,  par datortehnikas, sakaru un citas biroja tehnikas un pārējo pamatlīdzekļu iegādi, par vidējās darbības pretgaisa aizsardzības sistēmas iegādi, par izdevumiem par inženierbūvēm, par servertehnikas, datoru un biroju tehnikas iegādem informācijas tehnoloģijas darbu nodrošināšanai, par tehnoloģiskās iekārtu un mašīnu iegādi tipogrāfijas un ģeodēzijas darbu izpildi, par avansa maksājumiem par militārās tehnikas piegādi;</w:t>
      </w:r>
    </w:p>
    <w:p w14:paraId="580BC61C" w14:textId="51D5FB94" w:rsidR="009D6F09" w:rsidRPr="00D613A6" w:rsidRDefault="008577F2" w:rsidP="001E47A7">
      <w:pPr>
        <w:pStyle w:val="Bullets"/>
        <w:numPr>
          <w:ilvl w:val="0"/>
          <w:numId w:val="7"/>
        </w:numPr>
        <w:ind w:left="993" w:hanging="426"/>
        <w:rPr>
          <w:color w:val="17365D"/>
        </w:rPr>
      </w:pPr>
      <w:r w:rsidRPr="00D613A6">
        <w:rPr>
          <w:color w:val="17365D"/>
        </w:rPr>
        <w:t>Tieslietu</w:t>
      </w:r>
      <w:r w:rsidR="003743E6" w:rsidRPr="00D613A6">
        <w:rPr>
          <w:color w:val="17365D"/>
        </w:rPr>
        <w:t xml:space="preserve"> </w:t>
      </w:r>
      <w:r w:rsidR="001E47A7" w:rsidRPr="00D613A6">
        <w:rPr>
          <w:color w:val="17365D"/>
        </w:rPr>
        <w:tab/>
        <w:t>ministrijai izdevumu palielinājums jaunā cietuma būvniecības darbiem Liepājā</w:t>
      </w:r>
      <w:r w:rsidR="00152DD8" w:rsidRPr="00D613A6">
        <w:rPr>
          <w:color w:val="17365D"/>
        </w:rPr>
        <w:t>;</w:t>
      </w:r>
    </w:p>
    <w:p w14:paraId="4DCAF5E6" w14:textId="6F10D73E" w:rsidR="00E41248" w:rsidRPr="00D613A6" w:rsidRDefault="008577F2" w:rsidP="001E47A7">
      <w:pPr>
        <w:pStyle w:val="Bullets"/>
        <w:numPr>
          <w:ilvl w:val="0"/>
          <w:numId w:val="7"/>
        </w:numPr>
        <w:ind w:left="993" w:hanging="426"/>
        <w:rPr>
          <w:color w:val="17365D"/>
        </w:rPr>
      </w:pPr>
      <w:r w:rsidRPr="00D613A6">
        <w:rPr>
          <w:color w:val="17365D"/>
        </w:rPr>
        <w:t>Iekšlietu Iekšlietu ministrijai izdevumu palielinājums, t.sk. par  Eiropas Savienības projektu ietvaros iegādātajiem pamatlīdzekļiem un  avansa maksājumiem, par pasākuma "Valsts investīcijas valsts aizsardzības spēju attīstības un iekšējās drošības stiprināšanas pasākumu īstenošana" iegādātajiem pamatlīdzekļiem, par speciālo ugunsdzēsības un glābšanas transportlīdzekļu iegādi, par konvojējamo personu pārvadāšanai nepieciešamo transportlīdzekļu iegādi;</w:t>
      </w:r>
    </w:p>
    <w:p w14:paraId="5A589248" w14:textId="3C642CF5" w:rsidR="00BD51CF" w:rsidRPr="00D613A6" w:rsidRDefault="008577F2" w:rsidP="001E47A7">
      <w:pPr>
        <w:pStyle w:val="Bullets"/>
        <w:numPr>
          <w:ilvl w:val="0"/>
          <w:numId w:val="7"/>
        </w:numPr>
        <w:ind w:left="993" w:hanging="426"/>
        <w:rPr>
          <w:color w:val="17365D"/>
        </w:rPr>
      </w:pPr>
      <w:r w:rsidRPr="00D613A6">
        <w:rPr>
          <w:color w:val="17365D"/>
        </w:rPr>
        <w:t>Finanšu</w:t>
      </w:r>
      <w:r w:rsidR="00DE6990" w:rsidRPr="00D613A6">
        <w:rPr>
          <w:color w:val="17365D"/>
        </w:rPr>
        <w:t xml:space="preserve"> ministrijai </w:t>
      </w:r>
      <w:r w:rsidR="00C43DA2" w:rsidRPr="00D613A6">
        <w:rPr>
          <w:color w:val="17365D"/>
        </w:rPr>
        <w:t xml:space="preserve">izdevumu </w:t>
      </w:r>
      <w:r w:rsidRPr="00D613A6">
        <w:rPr>
          <w:color w:val="17365D"/>
        </w:rPr>
        <w:t>samazinājums saistīts ar VAS “Valsts nekustamie īpašumi” realizēto būvniecības projektu 2023.gadā un pasākumu 2024. gadā plānotā finansējuma izmaiņām</w:t>
      </w:r>
      <w:r w:rsidR="009C769C" w:rsidRPr="00D613A6">
        <w:rPr>
          <w:color w:val="17365D"/>
        </w:rPr>
        <w:t>.</w:t>
      </w:r>
    </w:p>
    <w:p w14:paraId="1C2B3FE9" w14:textId="46E85972" w:rsidR="008A1D5C" w:rsidRPr="00D613A6" w:rsidRDefault="008A1D5C" w:rsidP="009C6221">
      <w:pPr>
        <w:pStyle w:val="Pamatteksts1"/>
        <w:spacing w:before="360"/>
        <w:ind w:firstLine="0"/>
        <w:rPr>
          <w:noProof w:val="0"/>
          <w:color w:val="17365D"/>
        </w:rPr>
      </w:pPr>
      <w:r w:rsidRPr="00D613A6">
        <w:rPr>
          <w:rStyle w:val="Heading2Char"/>
          <w:rFonts w:cs="Times New Roman"/>
          <w:noProof w:val="0"/>
          <w:color w:val="17365D"/>
        </w:rPr>
        <w:t>Valsts pamatbudžeta izdevumi atbilstoši funkcionālajām kategorijām</w:t>
      </w:r>
    </w:p>
    <w:p w14:paraId="0C5FA029" w14:textId="7AFA8A2D" w:rsidR="00DA4B46" w:rsidRPr="00D613A6" w:rsidRDefault="00DA4B46" w:rsidP="00937369">
      <w:pPr>
        <w:spacing w:before="120"/>
        <w:rPr>
          <w:rFonts w:eastAsia="Calibri"/>
          <w:color w:val="17365D"/>
          <w:lang w:eastAsia="en-US"/>
        </w:rPr>
      </w:pPr>
      <w:r w:rsidRPr="00D613A6">
        <w:rPr>
          <w:rFonts w:eastAsia="Calibri"/>
          <w:color w:val="17365D"/>
          <w:lang w:eastAsia="en-US"/>
        </w:rPr>
        <w:t xml:space="preserve">Pārskata gadā lielākie izdevumi </w:t>
      </w:r>
      <w:r w:rsidR="00CD6630" w:rsidRPr="00D613A6">
        <w:rPr>
          <w:rFonts w:eastAsia="Calibri"/>
          <w:color w:val="17365D"/>
          <w:lang w:eastAsia="en-US"/>
        </w:rPr>
        <w:t>veikti</w:t>
      </w:r>
      <w:r w:rsidR="00CB4277" w:rsidRPr="00D613A6">
        <w:rPr>
          <w:rFonts w:eastAsia="Calibri"/>
          <w:color w:val="17365D"/>
          <w:lang w:eastAsia="en-US"/>
        </w:rPr>
        <w:t xml:space="preserve"> </w:t>
      </w:r>
      <w:r w:rsidR="00147FC5" w:rsidRPr="00D613A6">
        <w:rPr>
          <w:rFonts w:eastAsia="Calibri"/>
          <w:color w:val="17365D"/>
          <w:lang w:eastAsia="en-US"/>
        </w:rPr>
        <w:t xml:space="preserve">funkcijās: </w:t>
      </w:r>
      <w:r w:rsidR="00C04123" w:rsidRPr="00D613A6">
        <w:rPr>
          <w:rFonts w:eastAsia="Calibri"/>
          <w:color w:val="17365D"/>
          <w:lang w:eastAsia="en-US"/>
        </w:rPr>
        <w:t xml:space="preserve">ekonomiskā darbība </w:t>
      </w:r>
      <w:r w:rsidR="00654E48" w:rsidRPr="00D613A6">
        <w:rPr>
          <w:rFonts w:eastAsia="Calibri"/>
          <w:color w:val="17365D"/>
          <w:lang w:eastAsia="en-US"/>
        </w:rPr>
        <w:t>2</w:t>
      </w:r>
      <w:r w:rsidR="00CD6630" w:rsidRPr="00D613A6">
        <w:rPr>
          <w:rFonts w:eastAsia="Calibri"/>
          <w:color w:val="17365D"/>
          <w:lang w:eastAsia="en-US"/>
        </w:rPr>
        <w:t> </w:t>
      </w:r>
      <w:r w:rsidR="008A23DE" w:rsidRPr="00D613A6">
        <w:rPr>
          <w:rFonts w:eastAsia="Calibri"/>
          <w:color w:val="17365D"/>
          <w:lang w:eastAsia="en-US"/>
        </w:rPr>
        <w:t>0</w:t>
      </w:r>
      <w:r w:rsidR="00B51849" w:rsidRPr="00D613A6">
        <w:rPr>
          <w:rFonts w:eastAsia="Calibri"/>
          <w:color w:val="17365D"/>
          <w:lang w:eastAsia="en-US"/>
        </w:rPr>
        <w:t>49</w:t>
      </w:r>
      <w:r w:rsidR="00CD6630" w:rsidRPr="00D613A6">
        <w:rPr>
          <w:rFonts w:eastAsia="Calibri"/>
          <w:color w:val="17365D"/>
          <w:lang w:eastAsia="en-US"/>
        </w:rPr>
        <w:t>,</w:t>
      </w:r>
      <w:r w:rsidR="00B51849" w:rsidRPr="00D613A6">
        <w:rPr>
          <w:rFonts w:eastAsia="Calibri"/>
          <w:color w:val="17365D"/>
          <w:lang w:eastAsia="en-US"/>
        </w:rPr>
        <w:t>4</w:t>
      </w:r>
      <w:r w:rsidR="00CD6630" w:rsidRPr="00D613A6">
        <w:rPr>
          <w:rFonts w:eastAsia="Calibri"/>
          <w:color w:val="17365D"/>
          <w:lang w:eastAsia="en-US"/>
        </w:rPr>
        <w:t> milj.</w:t>
      </w:r>
      <w:r w:rsidR="00DB5226" w:rsidRPr="00D613A6">
        <w:rPr>
          <w:rFonts w:eastAsia="Calibri"/>
          <w:color w:val="17365D"/>
          <w:lang w:eastAsia="en-US"/>
        </w:rPr>
        <w:t> </w:t>
      </w:r>
      <w:r w:rsidR="00CD6630" w:rsidRPr="00D613A6">
        <w:rPr>
          <w:rFonts w:eastAsia="Calibri"/>
          <w:i/>
          <w:color w:val="17365D"/>
          <w:lang w:eastAsia="en-US"/>
        </w:rPr>
        <w:t>euro</w:t>
      </w:r>
      <w:r w:rsidR="00CD6630" w:rsidRPr="00D613A6">
        <w:rPr>
          <w:rFonts w:eastAsia="Calibri"/>
          <w:color w:val="17365D"/>
          <w:lang w:eastAsia="en-US"/>
        </w:rPr>
        <w:t xml:space="preserve"> </w:t>
      </w:r>
      <w:r w:rsidR="00B07BC5" w:rsidRPr="00D613A6">
        <w:rPr>
          <w:rFonts w:eastAsia="Calibri"/>
          <w:color w:val="17365D"/>
          <w:lang w:eastAsia="en-US"/>
        </w:rPr>
        <w:t xml:space="preserve">vērtībā </w:t>
      </w:r>
      <w:r w:rsidR="00CD6630" w:rsidRPr="00D613A6">
        <w:rPr>
          <w:rFonts w:eastAsia="Calibri"/>
          <w:color w:val="17365D"/>
          <w:lang w:eastAsia="en-US"/>
        </w:rPr>
        <w:t xml:space="preserve">jeb </w:t>
      </w:r>
      <w:r w:rsidR="008A23DE" w:rsidRPr="00D613A6">
        <w:rPr>
          <w:rFonts w:eastAsia="Calibri"/>
          <w:color w:val="17365D"/>
          <w:lang w:eastAsia="en-US"/>
        </w:rPr>
        <w:t>18</w:t>
      </w:r>
      <w:r w:rsidR="00CD6630" w:rsidRPr="00D613A6">
        <w:rPr>
          <w:rFonts w:eastAsia="Calibri"/>
          <w:color w:val="17365D"/>
          <w:lang w:eastAsia="en-US"/>
        </w:rPr>
        <w:t>,</w:t>
      </w:r>
      <w:r w:rsidR="00B51849" w:rsidRPr="00D613A6">
        <w:rPr>
          <w:rFonts w:eastAsia="Calibri"/>
          <w:color w:val="17365D"/>
          <w:lang w:eastAsia="en-US"/>
        </w:rPr>
        <w:t>49</w:t>
      </w:r>
      <w:r w:rsidR="00531DB2" w:rsidRPr="00D613A6">
        <w:rPr>
          <w:rFonts w:eastAsia="Calibri"/>
          <w:color w:val="17365D"/>
          <w:lang w:eastAsia="en-US"/>
        </w:rPr>
        <w:t> % no kopējiem izdevumiem</w:t>
      </w:r>
      <w:r w:rsidR="000E0FF4" w:rsidRPr="00D613A6">
        <w:rPr>
          <w:rFonts w:eastAsia="Calibri"/>
          <w:color w:val="17365D"/>
          <w:lang w:eastAsia="en-US"/>
        </w:rPr>
        <w:t xml:space="preserve">, </w:t>
      </w:r>
      <w:r w:rsidR="008A23DE" w:rsidRPr="00D613A6">
        <w:rPr>
          <w:rFonts w:eastAsia="Calibri"/>
          <w:color w:val="17365D"/>
          <w:lang w:eastAsia="en-US"/>
        </w:rPr>
        <w:t>veselības izdevumiem</w:t>
      </w:r>
      <w:r w:rsidR="00037178" w:rsidRPr="00D613A6">
        <w:rPr>
          <w:rFonts w:eastAsia="Calibri"/>
          <w:color w:val="17365D"/>
          <w:lang w:eastAsia="en-US"/>
        </w:rPr>
        <w:t xml:space="preserve"> – 1 </w:t>
      </w:r>
      <w:r w:rsidR="008A23DE" w:rsidRPr="00D613A6">
        <w:rPr>
          <w:rFonts w:eastAsia="Calibri"/>
          <w:color w:val="17365D"/>
          <w:lang w:eastAsia="en-US"/>
        </w:rPr>
        <w:t>873,3</w:t>
      </w:r>
      <w:r w:rsidR="00037178" w:rsidRPr="00D613A6">
        <w:rPr>
          <w:rFonts w:eastAsia="Calibri"/>
          <w:color w:val="17365D"/>
          <w:lang w:eastAsia="en-US"/>
        </w:rPr>
        <w:t xml:space="preserve"> milj. </w:t>
      </w:r>
      <w:r w:rsidR="00037178" w:rsidRPr="00D613A6">
        <w:rPr>
          <w:rFonts w:eastAsia="Calibri"/>
          <w:i/>
          <w:color w:val="17365D"/>
          <w:lang w:eastAsia="en-US"/>
        </w:rPr>
        <w:t xml:space="preserve">euro </w:t>
      </w:r>
      <w:r w:rsidR="00037178" w:rsidRPr="00D613A6">
        <w:rPr>
          <w:rFonts w:eastAsia="Calibri"/>
          <w:color w:val="17365D"/>
          <w:lang w:eastAsia="en-US"/>
        </w:rPr>
        <w:t>jeb</w:t>
      </w:r>
      <w:r w:rsidR="00037178" w:rsidRPr="00D613A6">
        <w:rPr>
          <w:rFonts w:eastAsia="Calibri"/>
          <w:i/>
          <w:color w:val="17365D"/>
          <w:lang w:eastAsia="en-US"/>
        </w:rPr>
        <w:t xml:space="preserve"> </w:t>
      </w:r>
      <w:r w:rsidR="008A23DE" w:rsidRPr="00D613A6">
        <w:rPr>
          <w:rFonts w:eastAsia="Calibri"/>
          <w:color w:val="17365D"/>
          <w:lang w:eastAsia="en-US"/>
        </w:rPr>
        <w:t>16,91</w:t>
      </w:r>
      <w:r w:rsidR="00037178" w:rsidRPr="00D613A6">
        <w:rPr>
          <w:rFonts w:eastAsia="Calibri"/>
          <w:color w:val="17365D"/>
          <w:lang w:eastAsia="en-US"/>
        </w:rPr>
        <w:t> %</w:t>
      </w:r>
      <w:r w:rsidR="00037178" w:rsidRPr="00D613A6">
        <w:rPr>
          <w:rFonts w:eastAsia="Calibri"/>
          <w:i/>
          <w:color w:val="17365D"/>
          <w:lang w:eastAsia="en-US"/>
        </w:rPr>
        <w:t xml:space="preserve"> </w:t>
      </w:r>
      <w:r w:rsidR="00037178" w:rsidRPr="00D613A6">
        <w:rPr>
          <w:rFonts w:eastAsia="Calibri"/>
          <w:color w:val="17365D"/>
          <w:lang w:eastAsia="en-US"/>
        </w:rPr>
        <w:t xml:space="preserve">no kopējiem izdevumiem un </w:t>
      </w:r>
      <w:r w:rsidR="008A23DE" w:rsidRPr="00D613A6">
        <w:rPr>
          <w:rFonts w:eastAsia="Calibri"/>
          <w:color w:val="17365D"/>
          <w:lang w:eastAsia="en-US"/>
        </w:rPr>
        <w:t>vispārējie valdības dienesti</w:t>
      </w:r>
      <w:r w:rsidR="00147FC5" w:rsidRPr="00D613A6">
        <w:rPr>
          <w:rFonts w:eastAsia="Calibri"/>
          <w:color w:val="17365D"/>
          <w:lang w:eastAsia="en-US"/>
        </w:rPr>
        <w:t xml:space="preserve"> –</w:t>
      </w:r>
      <w:r w:rsidR="000E0FF4" w:rsidRPr="00D613A6">
        <w:rPr>
          <w:rFonts w:eastAsia="Calibri"/>
          <w:color w:val="17365D"/>
          <w:lang w:eastAsia="en-US"/>
        </w:rPr>
        <w:t xml:space="preserve"> 1 </w:t>
      </w:r>
      <w:r w:rsidR="00B51849" w:rsidRPr="00D613A6">
        <w:rPr>
          <w:rFonts w:eastAsia="Calibri"/>
          <w:color w:val="17365D"/>
          <w:lang w:eastAsia="en-US"/>
        </w:rPr>
        <w:t>811</w:t>
      </w:r>
      <w:r w:rsidR="000E0FF4" w:rsidRPr="00D613A6">
        <w:rPr>
          <w:rFonts w:eastAsia="Calibri"/>
          <w:color w:val="17365D"/>
          <w:lang w:eastAsia="en-US"/>
        </w:rPr>
        <w:t>,</w:t>
      </w:r>
      <w:r w:rsidR="00900361" w:rsidRPr="00D613A6">
        <w:rPr>
          <w:rFonts w:eastAsia="Calibri"/>
          <w:color w:val="17365D"/>
          <w:lang w:eastAsia="en-US"/>
        </w:rPr>
        <w:t>0</w:t>
      </w:r>
      <w:r w:rsidR="000E0FF4" w:rsidRPr="00D613A6">
        <w:rPr>
          <w:rFonts w:eastAsia="Calibri"/>
          <w:color w:val="17365D"/>
          <w:lang w:eastAsia="en-US"/>
        </w:rPr>
        <w:t> </w:t>
      </w:r>
      <w:r w:rsidR="00CB4277" w:rsidRPr="00D613A6">
        <w:rPr>
          <w:rFonts w:eastAsia="Calibri"/>
          <w:color w:val="17365D"/>
          <w:lang w:eastAsia="en-US"/>
        </w:rPr>
        <w:t xml:space="preserve">milj. </w:t>
      </w:r>
      <w:r w:rsidR="00CB4277" w:rsidRPr="00D613A6">
        <w:rPr>
          <w:rFonts w:eastAsia="Calibri"/>
          <w:i/>
          <w:color w:val="17365D"/>
          <w:lang w:eastAsia="en-US"/>
        </w:rPr>
        <w:t>euro</w:t>
      </w:r>
      <w:r w:rsidR="00CB4277" w:rsidRPr="00D613A6">
        <w:rPr>
          <w:rFonts w:eastAsia="Calibri"/>
          <w:color w:val="17365D"/>
          <w:lang w:eastAsia="en-US"/>
        </w:rPr>
        <w:t xml:space="preserve"> </w:t>
      </w:r>
      <w:r w:rsidR="00C72427" w:rsidRPr="00D613A6">
        <w:rPr>
          <w:rFonts w:eastAsia="Calibri"/>
          <w:color w:val="17365D"/>
          <w:lang w:eastAsia="en-US"/>
        </w:rPr>
        <w:t xml:space="preserve">jeb </w:t>
      </w:r>
      <w:r w:rsidR="00900361" w:rsidRPr="00D613A6">
        <w:rPr>
          <w:rFonts w:eastAsia="Calibri"/>
          <w:color w:val="17365D"/>
          <w:lang w:eastAsia="en-US"/>
        </w:rPr>
        <w:t>16</w:t>
      </w:r>
      <w:r w:rsidR="00C72427" w:rsidRPr="00D613A6">
        <w:rPr>
          <w:rFonts w:eastAsia="Calibri"/>
          <w:color w:val="17365D"/>
          <w:lang w:eastAsia="en-US"/>
        </w:rPr>
        <w:t>,</w:t>
      </w:r>
      <w:r w:rsidR="00900361" w:rsidRPr="00D613A6">
        <w:rPr>
          <w:rFonts w:eastAsia="Calibri"/>
          <w:color w:val="17365D"/>
          <w:lang w:eastAsia="en-US"/>
        </w:rPr>
        <w:t>34</w:t>
      </w:r>
      <w:r w:rsidR="00C72427" w:rsidRPr="00D613A6">
        <w:rPr>
          <w:rFonts w:eastAsia="Calibri"/>
          <w:color w:val="17365D"/>
          <w:lang w:eastAsia="en-US"/>
        </w:rPr>
        <w:t> %</w:t>
      </w:r>
      <w:r w:rsidR="00CB4277" w:rsidRPr="00D613A6">
        <w:rPr>
          <w:rFonts w:eastAsia="Calibri"/>
          <w:color w:val="17365D"/>
          <w:lang w:eastAsia="en-US"/>
        </w:rPr>
        <w:t xml:space="preserve"> </w:t>
      </w:r>
      <w:r w:rsidR="00CD6630" w:rsidRPr="00D613A6">
        <w:rPr>
          <w:rFonts w:eastAsia="Calibri"/>
          <w:color w:val="17365D"/>
          <w:lang w:eastAsia="en-US"/>
        </w:rPr>
        <w:t>no kopējiem izdevumiem</w:t>
      </w:r>
      <w:r w:rsidR="006B244A" w:rsidRPr="00D613A6">
        <w:rPr>
          <w:rFonts w:eastAsia="Calibri"/>
          <w:color w:val="17365D"/>
          <w:lang w:eastAsia="en-US"/>
        </w:rPr>
        <w:t>.</w:t>
      </w:r>
    </w:p>
    <w:p w14:paraId="589D11F1" w14:textId="79C18154" w:rsidR="00430958" w:rsidRPr="00D613A6" w:rsidRDefault="00EA5E95" w:rsidP="005639FC">
      <w:pPr>
        <w:spacing w:after="160"/>
        <w:ind w:firstLine="720"/>
        <w:rPr>
          <w:rFonts w:eastAsia="Calibri"/>
          <w:color w:val="17365D"/>
          <w:lang w:eastAsia="en-US"/>
        </w:rPr>
      </w:pPr>
      <w:r w:rsidRPr="00D613A6">
        <w:rPr>
          <w:rFonts w:eastAsia="Calibri"/>
          <w:color w:val="17365D"/>
          <w:lang w:eastAsia="en-US"/>
        </w:rPr>
        <w:t>20</w:t>
      </w:r>
      <w:r w:rsidR="006A2742" w:rsidRPr="00D613A6">
        <w:rPr>
          <w:rFonts w:eastAsia="Calibri"/>
          <w:color w:val="17365D"/>
          <w:lang w:eastAsia="en-US"/>
        </w:rPr>
        <w:t>2</w:t>
      </w:r>
      <w:r w:rsidR="008A23DE" w:rsidRPr="00D613A6">
        <w:rPr>
          <w:rFonts w:eastAsia="Calibri"/>
          <w:color w:val="17365D"/>
          <w:lang w:eastAsia="en-US"/>
        </w:rPr>
        <w:t>4</w:t>
      </w:r>
      <w:r w:rsidRPr="00D613A6">
        <w:rPr>
          <w:rFonts w:eastAsia="Calibri"/>
          <w:color w:val="17365D"/>
          <w:lang w:eastAsia="en-US"/>
        </w:rPr>
        <w:t>.</w:t>
      </w:r>
      <w:r w:rsidR="00741420" w:rsidRPr="00D613A6">
        <w:rPr>
          <w:rFonts w:eastAsia="Calibri"/>
          <w:color w:val="17365D"/>
          <w:lang w:eastAsia="en-US"/>
        </w:rPr>
        <w:t> </w:t>
      </w:r>
      <w:r w:rsidRPr="00D613A6">
        <w:rPr>
          <w:rFonts w:eastAsia="Calibri"/>
          <w:color w:val="17365D"/>
          <w:lang w:eastAsia="en-US"/>
        </w:rPr>
        <w:t>gadā valsts pamatbudžeta izdevumos atbilstoši funkcionālajām kategorijām, salīdzinot ar 20</w:t>
      </w:r>
      <w:r w:rsidR="00654E48" w:rsidRPr="00D613A6">
        <w:rPr>
          <w:rFonts w:eastAsia="Calibri"/>
          <w:color w:val="17365D"/>
          <w:lang w:eastAsia="en-US"/>
        </w:rPr>
        <w:t>2</w:t>
      </w:r>
      <w:r w:rsidR="008A23DE" w:rsidRPr="00D613A6">
        <w:rPr>
          <w:rFonts w:eastAsia="Calibri"/>
          <w:color w:val="17365D"/>
          <w:lang w:eastAsia="en-US"/>
        </w:rPr>
        <w:t>3</w:t>
      </w:r>
      <w:r w:rsidRPr="00D613A6">
        <w:rPr>
          <w:rFonts w:eastAsia="Calibri"/>
          <w:color w:val="17365D"/>
          <w:lang w:eastAsia="en-US"/>
        </w:rPr>
        <w:t>.</w:t>
      </w:r>
      <w:r w:rsidR="00741420" w:rsidRPr="00D613A6">
        <w:rPr>
          <w:rFonts w:eastAsia="Calibri"/>
          <w:color w:val="17365D"/>
          <w:lang w:eastAsia="en-US"/>
        </w:rPr>
        <w:t> </w:t>
      </w:r>
      <w:r w:rsidRPr="00D613A6">
        <w:rPr>
          <w:rFonts w:eastAsia="Calibri"/>
          <w:color w:val="17365D"/>
          <w:lang w:eastAsia="en-US"/>
        </w:rPr>
        <w:t>gadu</w:t>
      </w:r>
      <w:r w:rsidR="00C32A13" w:rsidRPr="00D613A6">
        <w:rPr>
          <w:rFonts w:eastAsia="Calibri"/>
          <w:color w:val="17365D"/>
          <w:lang w:eastAsia="en-US"/>
        </w:rPr>
        <w:t>,</w:t>
      </w:r>
      <w:r w:rsidRPr="00D613A6">
        <w:rPr>
          <w:rFonts w:eastAsia="Calibri"/>
          <w:color w:val="17365D"/>
          <w:lang w:eastAsia="en-US"/>
        </w:rPr>
        <w:t xml:space="preserve"> lielāk</w:t>
      </w:r>
      <w:r w:rsidR="001657BF" w:rsidRPr="00D613A6">
        <w:rPr>
          <w:rFonts w:eastAsia="Calibri"/>
          <w:color w:val="17365D"/>
          <w:lang w:eastAsia="en-US"/>
        </w:rPr>
        <w:t>ās izmaiņas</w:t>
      </w:r>
      <w:r w:rsidRPr="00D613A6">
        <w:rPr>
          <w:rFonts w:eastAsia="Calibri"/>
          <w:color w:val="17365D"/>
          <w:lang w:eastAsia="en-US"/>
        </w:rPr>
        <w:t xml:space="preserve"> ir </w:t>
      </w:r>
      <w:r w:rsidR="004E1E0B" w:rsidRPr="00D613A6">
        <w:rPr>
          <w:rFonts w:eastAsia="Calibri"/>
          <w:color w:val="17365D"/>
          <w:lang w:eastAsia="en-US"/>
        </w:rPr>
        <w:t xml:space="preserve">funkcijai </w:t>
      </w:r>
      <w:r w:rsidR="00F536B5" w:rsidRPr="00D613A6">
        <w:rPr>
          <w:rFonts w:eastAsia="Calibri"/>
          <w:color w:val="17365D"/>
          <w:lang w:eastAsia="en-US"/>
        </w:rPr>
        <w:t>–</w:t>
      </w:r>
      <w:r w:rsidR="004E1E0B" w:rsidRPr="00D613A6">
        <w:rPr>
          <w:rFonts w:eastAsia="Calibri"/>
          <w:color w:val="17365D"/>
          <w:lang w:eastAsia="en-US"/>
        </w:rPr>
        <w:t xml:space="preserve"> </w:t>
      </w:r>
      <w:r w:rsidR="008A23DE" w:rsidRPr="00D613A6">
        <w:rPr>
          <w:rFonts w:eastAsia="Calibri"/>
          <w:color w:val="17365D"/>
          <w:lang w:eastAsia="en-US"/>
        </w:rPr>
        <w:t>sabiedriskā kārtība un drošība</w:t>
      </w:r>
      <w:r w:rsidR="00654E48" w:rsidRPr="00D613A6">
        <w:rPr>
          <w:rFonts w:eastAsia="Calibri"/>
          <w:color w:val="17365D"/>
          <w:lang w:eastAsia="en-US"/>
        </w:rPr>
        <w:t xml:space="preserve"> </w:t>
      </w:r>
      <w:r w:rsidR="007021C4" w:rsidRPr="00D613A6">
        <w:rPr>
          <w:rFonts w:eastAsia="Calibri"/>
          <w:color w:val="17365D"/>
          <w:lang w:eastAsia="en-US"/>
        </w:rPr>
        <w:t>32</w:t>
      </w:r>
      <w:r w:rsidR="008A23DE" w:rsidRPr="00D613A6">
        <w:rPr>
          <w:rFonts w:eastAsia="Calibri"/>
          <w:color w:val="17365D"/>
          <w:lang w:eastAsia="en-US"/>
        </w:rPr>
        <w:t>8</w:t>
      </w:r>
      <w:r w:rsidR="007021C4" w:rsidRPr="00D613A6">
        <w:rPr>
          <w:rFonts w:eastAsia="Calibri"/>
          <w:color w:val="17365D"/>
          <w:lang w:eastAsia="en-US"/>
        </w:rPr>
        <w:t>,8</w:t>
      </w:r>
      <w:r w:rsidR="006E06CE">
        <w:rPr>
          <w:rFonts w:eastAsia="Calibri"/>
          <w:color w:val="17365D"/>
          <w:lang w:eastAsia="en-US"/>
        </w:rPr>
        <w:t> </w:t>
      </w:r>
      <w:r w:rsidR="00EE45D9" w:rsidRPr="00D613A6">
        <w:rPr>
          <w:rFonts w:eastAsia="Calibri"/>
          <w:color w:val="17365D"/>
          <w:lang w:eastAsia="en-US"/>
        </w:rPr>
        <w:t>milj. </w:t>
      </w:r>
      <w:r w:rsidR="00EE45D9" w:rsidRPr="00D613A6">
        <w:rPr>
          <w:rFonts w:eastAsia="Calibri"/>
          <w:i/>
          <w:color w:val="17365D"/>
          <w:lang w:eastAsia="en-US"/>
        </w:rPr>
        <w:t>euro</w:t>
      </w:r>
      <w:r w:rsidR="00EE45D9" w:rsidRPr="00D613A6">
        <w:rPr>
          <w:rFonts w:eastAsia="Calibri"/>
          <w:color w:val="17365D"/>
          <w:lang w:eastAsia="en-US"/>
        </w:rPr>
        <w:t xml:space="preserve"> jeb </w:t>
      </w:r>
      <w:r w:rsidR="007021C4" w:rsidRPr="00D613A6">
        <w:rPr>
          <w:rFonts w:eastAsia="Calibri"/>
          <w:color w:val="17365D"/>
          <w:lang w:eastAsia="en-US"/>
        </w:rPr>
        <w:t>3</w:t>
      </w:r>
      <w:r w:rsidR="008A23DE" w:rsidRPr="00D613A6">
        <w:rPr>
          <w:rFonts w:eastAsia="Calibri"/>
          <w:color w:val="17365D"/>
          <w:lang w:eastAsia="en-US"/>
        </w:rPr>
        <w:t>5</w:t>
      </w:r>
      <w:r w:rsidR="00C04123" w:rsidRPr="00D613A6">
        <w:rPr>
          <w:rFonts w:eastAsia="Calibri"/>
          <w:color w:val="17365D"/>
          <w:lang w:eastAsia="en-US"/>
        </w:rPr>
        <w:t>,</w:t>
      </w:r>
      <w:r w:rsidR="008A23DE" w:rsidRPr="00D613A6">
        <w:rPr>
          <w:rFonts w:eastAsia="Calibri"/>
          <w:color w:val="17365D"/>
          <w:lang w:eastAsia="en-US"/>
        </w:rPr>
        <w:t>64</w:t>
      </w:r>
      <w:r w:rsidR="00EE45D9" w:rsidRPr="00D613A6">
        <w:rPr>
          <w:rFonts w:eastAsia="Calibri"/>
          <w:color w:val="17365D"/>
          <w:lang w:eastAsia="en-US"/>
        </w:rPr>
        <w:t xml:space="preserve"> %, </w:t>
      </w:r>
      <w:r w:rsidR="005639FC" w:rsidRPr="00D613A6">
        <w:rPr>
          <w:rFonts w:eastAsia="Calibri"/>
          <w:color w:val="17365D"/>
          <w:lang w:eastAsia="en-US"/>
        </w:rPr>
        <w:t>ar papildu piešķirto finansējumu, lai segtu izdevumus, kas saistīti ar prioritāri izbūvējamajiem valsts robežas joslas posmiem uz valsts sauszemes robežas gar Latvijas Republikas un Baltkrievijas Republikas valsts robežu, kā arī lai segtu izdevumus, kas saistīti ar speciālo ugunsdzēsības un glābšanas transportlīdzekļu iegādi, un projekta “Automatizētas robežu uzraudzības infrastruktūra” īstenošanu un jauna cietuma būvniecību Liepājā.</w:t>
      </w:r>
    </w:p>
    <w:p w14:paraId="33E8F2BC" w14:textId="7ED2579B" w:rsidR="00114C3F" w:rsidRPr="00D613A6" w:rsidRDefault="00D0639F" w:rsidP="00114C3F">
      <w:pPr>
        <w:pStyle w:val="Pamatteksts1"/>
        <w:rPr>
          <w:rFonts w:eastAsia="Calibri"/>
          <w:color w:val="17365D"/>
          <w:lang w:eastAsia="en-US"/>
        </w:rPr>
      </w:pPr>
      <w:r w:rsidRPr="00D613A6">
        <w:rPr>
          <w:rFonts w:eastAsia="Calibri"/>
          <w:color w:val="17365D"/>
          <w:lang w:eastAsia="en-US"/>
        </w:rPr>
        <w:t>Aizsardzības</w:t>
      </w:r>
      <w:r w:rsidR="00114C3F" w:rsidRPr="00D613A6">
        <w:rPr>
          <w:rFonts w:eastAsia="Calibri"/>
          <w:color w:val="17365D"/>
          <w:lang w:eastAsia="en-US"/>
        </w:rPr>
        <w:t xml:space="preserve"> funkcijai izdevumu pieaugums ir </w:t>
      </w:r>
      <w:r w:rsidRPr="00D613A6">
        <w:rPr>
          <w:rFonts w:eastAsia="Calibri"/>
          <w:color w:val="17365D"/>
          <w:lang w:eastAsia="en-US"/>
        </w:rPr>
        <w:t>167,7</w:t>
      </w:r>
      <w:r w:rsidR="00114C3F" w:rsidRPr="00D613A6">
        <w:rPr>
          <w:rFonts w:eastAsia="Calibri"/>
          <w:color w:val="17365D"/>
          <w:lang w:eastAsia="en-US"/>
        </w:rPr>
        <w:t> milj. </w:t>
      </w:r>
      <w:r w:rsidR="00114C3F" w:rsidRPr="00D613A6">
        <w:rPr>
          <w:rFonts w:eastAsia="Calibri"/>
          <w:i/>
          <w:color w:val="17365D"/>
          <w:lang w:eastAsia="en-US"/>
        </w:rPr>
        <w:t>euro</w:t>
      </w:r>
      <w:r w:rsidRPr="00D613A6">
        <w:rPr>
          <w:rFonts w:eastAsia="Calibri"/>
          <w:color w:val="17365D"/>
          <w:lang w:eastAsia="en-US"/>
        </w:rPr>
        <w:t xml:space="preserve"> jeb 14,</w:t>
      </w:r>
      <w:r w:rsidR="00900361" w:rsidRPr="00D613A6">
        <w:rPr>
          <w:rFonts w:eastAsia="Calibri"/>
          <w:color w:val="17365D"/>
          <w:lang w:eastAsia="en-US"/>
        </w:rPr>
        <w:t>0</w:t>
      </w:r>
      <w:r w:rsidRPr="00D613A6">
        <w:rPr>
          <w:rFonts w:eastAsia="Calibri"/>
          <w:color w:val="17365D"/>
          <w:lang w:eastAsia="en-US"/>
        </w:rPr>
        <w:t>6</w:t>
      </w:r>
      <w:r w:rsidR="00114C3F" w:rsidRPr="00D613A6">
        <w:rPr>
          <w:rFonts w:eastAsia="Calibri"/>
          <w:color w:val="17365D"/>
          <w:lang w:eastAsia="en-US"/>
        </w:rPr>
        <w:t xml:space="preserve">%, kas saistīts ar </w:t>
      </w:r>
      <w:r w:rsidR="006A4E4F" w:rsidRPr="00D613A6">
        <w:rPr>
          <w:rFonts w:eastAsia="Calibri"/>
          <w:color w:val="17365D"/>
          <w:lang w:eastAsia="en-US"/>
        </w:rPr>
        <w:t>NATO paplašinātās klātbūtnes brigādes līmeņa kaujas grupas izveidi ciešā sasaistē ar poligona “Sēlija” attīstību, kas paredz dzīvošanas atbalsta zonas būvniecību un šautuvju izveidi,</w:t>
      </w:r>
      <w:r w:rsidR="006A4E4F" w:rsidRPr="00D613A6">
        <w:rPr>
          <w:bCs/>
          <w:color w:val="17365D"/>
          <w:sz w:val="22"/>
          <w:szCs w:val="22"/>
        </w:rPr>
        <w:t xml:space="preserve"> </w:t>
      </w:r>
      <w:r w:rsidR="006A4E4F" w:rsidRPr="00D613A6">
        <w:rPr>
          <w:rFonts w:eastAsia="Calibri"/>
          <w:color w:val="17365D"/>
          <w:lang w:eastAsia="en-US"/>
        </w:rPr>
        <w:t xml:space="preserve">pilnveidota </w:t>
      </w:r>
      <w:r w:rsidR="006A4E4F" w:rsidRPr="00D613A6">
        <w:rPr>
          <w:rFonts w:eastAsia="Calibri"/>
          <w:color w:val="17365D"/>
          <w:lang w:eastAsia="en-US"/>
        </w:rPr>
        <w:lastRenderedPageBreak/>
        <w:t>valsts robežas aizsardzība, izmantojot fiziskos un inženiertehniskos risinājumu, uzsākta Nacionālo bruņoto spēku struktūras palielināšana, nākotnē paredzot personālsastāva pieaugumu, celta NBS vienību kaujas gatavība, piesaistot nepieciešamos personālresursus un prioritizējot tādu materiāltehnisko līdzekļu iegādes, kas stiprina vienību kaujas gatavību un reaģēšanas spējas.</w:t>
      </w:r>
    </w:p>
    <w:p w14:paraId="7A0D8526" w14:textId="524A1568" w:rsidR="006A4E4F" w:rsidRPr="00D613A6" w:rsidRDefault="00114C3F" w:rsidP="006A4E4F">
      <w:pPr>
        <w:spacing w:after="0"/>
        <w:rPr>
          <w:rFonts w:eastAsia="Calibri"/>
          <w:noProof/>
          <w:color w:val="17365D"/>
          <w:lang w:eastAsia="en-US"/>
        </w:rPr>
      </w:pPr>
      <w:r w:rsidRPr="00D613A6">
        <w:rPr>
          <w:rFonts w:eastAsia="Calibri"/>
          <w:color w:val="17365D"/>
          <w:lang w:eastAsia="en-US"/>
        </w:rPr>
        <w:t>Izdevumu pieaugums izglītības funkcijai ir 13</w:t>
      </w:r>
      <w:r w:rsidR="00D0639F" w:rsidRPr="00D613A6">
        <w:rPr>
          <w:rFonts w:eastAsia="Calibri"/>
          <w:color w:val="17365D"/>
          <w:lang w:eastAsia="en-US"/>
        </w:rPr>
        <w:t>3,0</w:t>
      </w:r>
      <w:r w:rsidRPr="00D613A6">
        <w:rPr>
          <w:rFonts w:eastAsia="Calibri"/>
          <w:color w:val="17365D"/>
          <w:lang w:eastAsia="en-US"/>
        </w:rPr>
        <w:t xml:space="preserve"> milj. </w:t>
      </w:r>
      <w:r w:rsidRPr="00D613A6">
        <w:rPr>
          <w:rFonts w:eastAsia="Calibri"/>
          <w:i/>
          <w:color w:val="17365D"/>
          <w:lang w:eastAsia="en-US"/>
        </w:rPr>
        <w:t>euro</w:t>
      </w:r>
      <w:r w:rsidR="00D0639F" w:rsidRPr="00D613A6">
        <w:rPr>
          <w:rFonts w:eastAsia="Calibri"/>
          <w:color w:val="17365D"/>
          <w:lang w:eastAsia="en-US"/>
        </w:rPr>
        <w:t xml:space="preserve"> jeb 12</w:t>
      </w:r>
      <w:r w:rsidRPr="00D613A6">
        <w:rPr>
          <w:rFonts w:eastAsia="Calibri"/>
          <w:color w:val="17365D"/>
          <w:lang w:eastAsia="en-US"/>
        </w:rPr>
        <w:t>,</w:t>
      </w:r>
      <w:r w:rsidR="00D0639F" w:rsidRPr="00D613A6">
        <w:rPr>
          <w:rFonts w:eastAsia="Calibri"/>
          <w:color w:val="17365D"/>
          <w:lang w:eastAsia="en-US"/>
        </w:rPr>
        <w:t>13</w:t>
      </w:r>
      <w:r w:rsidRPr="00D613A6">
        <w:rPr>
          <w:rFonts w:eastAsia="Calibri"/>
          <w:color w:val="17365D"/>
          <w:lang w:eastAsia="en-US"/>
        </w:rPr>
        <w:t xml:space="preserve"> %, kas saistīts </w:t>
      </w:r>
      <w:r w:rsidR="005639FC" w:rsidRPr="00D613A6">
        <w:rPr>
          <w:rFonts w:eastAsia="Calibri"/>
          <w:noProof/>
          <w:color w:val="17365D"/>
          <w:lang w:eastAsia="en-US"/>
        </w:rPr>
        <w:t xml:space="preserve">ar </w:t>
      </w:r>
      <w:r w:rsidR="006A4E4F" w:rsidRPr="00D613A6">
        <w:rPr>
          <w:rFonts w:eastAsia="Calibri"/>
          <w:noProof/>
          <w:color w:val="17365D"/>
          <w:lang w:eastAsia="en-US"/>
        </w:rPr>
        <w:t>prioritārajiem pasākumiem “Valsts tiešās pārvaldes iestādēs nodarbināto atalgojuma palielināšanai”, “Valsts pārvaldes kapacitātes stiprināšanai, nodrošinot stratēģiski svarīgo amata grupu atlīdzību”, “Pedagogu darba samaksas pieauguma grafika īstenošanas 2.solim no 2024. gada 1. janvāra”.</w:t>
      </w:r>
    </w:p>
    <w:p w14:paraId="593C8E18" w14:textId="33FB26DE" w:rsidR="00114C3F" w:rsidRPr="00D613A6" w:rsidRDefault="00114C3F" w:rsidP="005639FC">
      <w:pPr>
        <w:ind w:firstLine="720"/>
        <w:rPr>
          <w:rFonts w:eastAsia="Calibri"/>
          <w:color w:val="17365D"/>
        </w:rPr>
      </w:pPr>
      <w:r w:rsidRPr="00D613A6">
        <w:rPr>
          <w:rFonts w:eastAsia="Calibri"/>
          <w:color w:val="17365D"/>
          <w:lang w:eastAsia="en-US"/>
        </w:rPr>
        <w:t>Savukārt, izdevumu samazinājums funkcijai “</w:t>
      </w:r>
      <w:r w:rsidR="00D0639F" w:rsidRPr="00D613A6">
        <w:rPr>
          <w:rFonts w:eastAsia="Calibri"/>
          <w:color w:val="17365D"/>
          <w:lang w:eastAsia="en-US"/>
        </w:rPr>
        <w:t>Ekonomiskā darbība” (</w:t>
      </w:r>
      <w:r w:rsidR="00900361" w:rsidRPr="00D613A6">
        <w:rPr>
          <w:rFonts w:eastAsia="Calibri"/>
          <w:color w:val="17365D"/>
          <w:lang w:eastAsia="en-US"/>
        </w:rPr>
        <w:t>288.6</w:t>
      </w:r>
      <w:r w:rsidRPr="00D613A6">
        <w:rPr>
          <w:rFonts w:eastAsia="Calibri"/>
          <w:color w:val="17365D"/>
          <w:lang w:eastAsia="en-US"/>
        </w:rPr>
        <w:t xml:space="preserve">) milj. </w:t>
      </w:r>
      <w:r w:rsidRPr="00D613A6">
        <w:rPr>
          <w:rFonts w:eastAsia="Calibri"/>
          <w:i/>
          <w:color w:val="17365D"/>
          <w:lang w:eastAsia="en-US"/>
        </w:rPr>
        <w:t>euro</w:t>
      </w:r>
      <w:r w:rsidR="00D0639F" w:rsidRPr="00D613A6">
        <w:rPr>
          <w:rFonts w:eastAsia="Calibri"/>
          <w:color w:val="17365D"/>
          <w:lang w:eastAsia="en-US"/>
        </w:rPr>
        <w:t xml:space="preserve"> jeb </w:t>
      </w:r>
      <w:r w:rsidR="00900361" w:rsidRPr="00D613A6">
        <w:rPr>
          <w:rFonts w:eastAsia="Calibri"/>
          <w:color w:val="17365D"/>
          <w:lang w:eastAsia="en-US"/>
        </w:rPr>
        <w:t>12</w:t>
      </w:r>
      <w:r w:rsidR="00D0639F" w:rsidRPr="00D613A6">
        <w:rPr>
          <w:rFonts w:eastAsia="Calibri"/>
          <w:color w:val="17365D"/>
          <w:lang w:eastAsia="en-US"/>
        </w:rPr>
        <w:t>,</w:t>
      </w:r>
      <w:r w:rsidR="00900361" w:rsidRPr="00D613A6">
        <w:rPr>
          <w:rFonts w:eastAsia="Calibri"/>
          <w:color w:val="17365D"/>
          <w:lang w:eastAsia="en-US"/>
        </w:rPr>
        <w:t>35</w:t>
      </w:r>
      <w:r w:rsidR="003A0731">
        <w:rPr>
          <w:rFonts w:eastAsia="Calibri"/>
          <w:color w:val="17365D"/>
          <w:lang w:eastAsia="en-US"/>
        </w:rPr>
        <w:t> %</w:t>
      </w:r>
      <w:r w:rsidRPr="00D613A6">
        <w:rPr>
          <w:rFonts w:eastAsia="Calibri"/>
          <w:color w:val="17365D"/>
          <w:lang w:eastAsia="en-US"/>
        </w:rPr>
        <w:t xml:space="preserve"> </w:t>
      </w:r>
      <w:r w:rsidR="003A0731">
        <w:rPr>
          <w:rFonts w:eastAsia="Calibri"/>
          <w:color w:val="17365D"/>
          <w:lang w:eastAsia="en-US"/>
        </w:rPr>
        <w:t xml:space="preserve">galvenokārt ir tāpēc, ka </w:t>
      </w:r>
      <w:r w:rsidR="005639FC" w:rsidRPr="00D613A6">
        <w:rPr>
          <w:rFonts w:eastAsia="Calibri"/>
          <w:color w:val="17365D"/>
          <w:lang w:eastAsia="en-US"/>
        </w:rPr>
        <w:t>iepriekšējā</w:t>
      </w:r>
      <w:r w:rsidR="003A0731">
        <w:rPr>
          <w:rFonts w:eastAsia="Calibri"/>
          <w:color w:val="17365D"/>
          <w:lang w:eastAsia="en-US"/>
        </w:rPr>
        <w:t xml:space="preserve"> periodā sniegts atbalsts </w:t>
      </w:r>
      <w:r w:rsidR="005639FC" w:rsidRPr="00D613A6">
        <w:rPr>
          <w:rFonts w:eastAsia="Calibri"/>
          <w:color w:val="17365D"/>
          <w:lang w:eastAsia="en-US"/>
        </w:rPr>
        <w:t xml:space="preserve">energoresursu cenu ārkārtēja pieauguma </w:t>
      </w:r>
      <w:r w:rsidR="003A0731">
        <w:rPr>
          <w:rFonts w:eastAsia="Calibri"/>
          <w:color w:val="17365D"/>
          <w:lang w:eastAsia="en-US"/>
        </w:rPr>
        <w:t>radīto izdevumu kompensēšanai</w:t>
      </w:r>
      <w:r w:rsidRPr="00D613A6">
        <w:rPr>
          <w:rFonts w:eastAsia="Calibri"/>
          <w:color w:val="17365D"/>
          <w:lang w:eastAsia="en-US"/>
        </w:rPr>
        <w:t xml:space="preserve"> </w:t>
      </w:r>
      <w:r w:rsidR="00B51432" w:rsidRPr="00D613A6">
        <w:rPr>
          <w:color w:val="17365D"/>
        </w:rPr>
        <w:t>(skatīt 6.6</w:t>
      </w:r>
      <w:r w:rsidRPr="00D613A6">
        <w:rPr>
          <w:color w:val="17365D"/>
        </w:rPr>
        <w:t>. attēlu).</w:t>
      </w:r>
    </w:p>
    <w:p w14:paraId="5FCD7C88" w14:textId="02E11AC8" w:rsidR="00BC69E0" w:rsidRPr="00D613A6" w:rsidRDefault="00B51849" w:rsidP="00FE657A">
      <w:pPr>
        <w:spacing w:before="120" w:after="0"/>
        <w:ind w:firstLine="0"/>
        <w:jc w:val="center"/>
        <w:rPr>
          <w:color w:val="17365D"/>
          <w:sz w:val="20"/>
        </w:rPr>
      </w:pPr>
      <w:r w:rsidRPr="00D613A6">
        <w:rPr>
          <w:noProof/>
          <w:color w:val="17365D"/>
          <w:sz w:val="20"/>
          <w:szCs w:val="20"/>
        </w:rPr>
        <w:drawing>
          <wp:inline distT="0" distB="0" distL="0" distR="0" wp14:anchorId="10CD0CD4" wp14:editId="33851B8A">
            <wp:extent cx="5872480" cy="5036820"/>
            <wp:effectExtent l="0" t="0" r="0" b="0"/>
            <wp:docPr id="14" name="Chart 14">
              <a:extLst xmlns:a="http://schemas.openxmlformats.org/drawingml/2006/main">
                <a:ext uri="{FF2B5EF4-FFF2-40B4-BE49-F238E27FC236}">
                  <a16:creationId xmlns:a16="http://schemas.microsoft.com/office/drawing/2014/main" id="{C38556A5-8139-3B9B-AB2D-02C44E0BA5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D1321E" w14:textId="6073228D" w:rsidR="00FE657A" w:rsidRPr="006E06CE" w:rsidRDefault="006019DC" w:rsidP="00FE657A">
      <w:pPr>
        <w:pStyle w:val="Pamatteksts1"/>
        <w:jc w:val="center"/>
        <w:rPr>
          <w:i/>
          <w:noProof w:val="0"/>
          <w:color w:val="17365D"/>
        </w:rPr>
      </w:pPr>
      <w:r w:rsidRPr="006E06CE">
        <w:rPr>
          <w:i/>
          <w:noProof w:val="0"/>
          <w:color w:val="17365D"/>
        </w:rPr>
        <w:t>6.</w:t>
      </w:r>
      <w:r w:rsidR="00B51432" w:rsidRPr="006E06CE">
        <w:rPr>
          <w:i/>
          <w:noProof w:val="0"/>
          <w:color w:val="17365D"/>
        </w:rPr>
        <w:t>6</w:t>
      </w:r>
      <w:r w:rsidR="008A1D5C" w:rsidRPr="006E06CE">
        <w:rPr>
          <w:i/>
          <w:noProof w:val="0"/>
          <w:color w:val="17365D"/>
        </w:rPr>
        <w:t>.</w:t>
      </w:r>
      <w:r w:rsidR="00F94350" w:rsidRPr="006E06CE">
        <w:rPr>
          <w:i/>
          <w:noProof w:val="0"/>
          <w:color w:val="17365D"/>
        </w:rPr>
        <w:t> </w:t>
      </w:r>
      <w:r w:rsidR="008A1D5C" w:rsidRPr="006E06CE">
        <w:rPr>
          <w:i/>
          <w:noProof w:val="0"/>
          <w:color w:val="17365D"/>
        </w:rPr>
        <w:t xml:space="preserve">attēls. Valsts pamatbudžeta izdevumi atbilstoši funkcionālajām kategorijām </w:t>
      </w:r>
      <w:r w:rsidR="008F2503" w:rsidRPr="006E06CE">
        <w:rPr>
          <w:i/>
          <w:noProof w:val="0"/>
          <w:color w:val="17365D"/>
        </w:rPr>
        <w:t>20</w:t>
      </w:r>
      <w:r w:rsidR="00034F0E" w:rsidRPr="006E06CE">
        <w:rPr>
          <w:i/>
          <w:noProof w:val="0"/>
          <w:color w:val="17365D"/>
        </w:rPr>
        <w:t>2</w:t>
      </w:r>
      <w:r w:rsidR="00D0639F" w:rsidRPr="006E06CE">
        <w:rPr>
          <w:i/>
          <w:noProof w:val="0"/>
          <w:color w:val="17365D"/>
        </w:rPr>
        <w:t>3</w:t>
      </w:r>
      <w:r w:rsidR="008F2503" w:rsidRPr="006E06CE">
        <w:rPr>
          <w:i/>
          <w:noProof w:val="0"/>
          <w:color w:val="17365D"/>
        </w:rPr>
        <w:t>. gad</w:t>
      </w:r>
      <w:r w:rsidR="008A1D5C" w:rsidRPr="006E06CE">
        <w:rPr>
          <w:i/>
          <w:noProof w:val="0"/>
          <w:color w:val="17365D"/>
        </w:rPr>
        <w:t xml:space="preserve">ā un </w:t>
      </w:r>
      <w:r w:rsidR="008F2503" w:rsidRPr="006E06CE">
        <w:rPr>
          <w:i/>
          <w:noProof w:val="0"/>
          <w:color w:val="17365D"/>
        </w:rPr>
        <w:t>20</w:t>
      </w:r>
      <w:r w:rsidR="00F47A90" w:rsidRPr="006E06CE">
        <w:rPr>
          <w:i/>
          <w:noProof w:val="0"/>
          <w:color w:val="17365D"/>
        </w:rPr>
        <w:t>2</w:t>
      </w:r>
      <w:r w:rsidR="00D0639F" w:rsidRPr="006E06CE">
        <w:rPr>
          <w:i/>
          <w:noProof w:val="0"/>
          <w:color w:val="17365D"/>
        </w:rPr>
        <w:t>4</w:t>
      </w:r>
      <w:r w:rsidR="008F2503" w:rsidRPr="006E06CE">
        <w:rPr>
          <w:i/>
          <w:noProof w:val="0"/>
          <w:color w:val="17365D"/>
        </w:rPr>
        <w:t>. gad</w:t>
      </w:r>
      <w:r w:rsidR="008A1D5C" w:rsidRPr="006E06CE">
        <w:rPr>
          <w:i/>
          <w:noProof w:val="0"/>
          <w:color w:val="17365D"/>
        </w:rPr>
        <w:t xml:space="preserve">ā </w:t>
      </w:r>
      <w:r w:rsidR="0035773A" w:rsidRPr="006E06CE">
        <w:rPr>
          <w:i/>
          <w:noProof w:val="0"/>
          <w:color w:val="17365D"/>
        </w:rPr>
        <w:t>(milj.</w:t>
      </w:r>
      <w:r w:rsidR="007B232C" w:rsidRPr="006E06CE">
        <w:rPr>
          <w:i/>
          <w:noProof w:val="0"/>
          <w:color w:val="17365D"/>
        </w:rPr>
        <w:t> </w:t>
      </w:r>
      <w:r w:rsidR="00EF7B9A" w:rsidRPr="006E06CE">
        <w:rPr>
          <w:i/>
          <w:noProof w:val="0"/>
          <w:color w:val="17365D"/>
        </w:rPr>
        <w:t>euro</w:t>
      </w:r>
      <w:r w:rsidR="0035773A" w:rsidRPr="006E06CE">
        <w:rPr>
          <w:i/>
          <w:noProof w:val="0"/>
          <w:color w:val="17365D"/>
        </w:rPr>
        <w:t>)</w:t>
      </w:r>
      <w:r w:rsidR="00462288" w:rsidRPr="006E06CE">
        <w:rPr>
          <w:i/>
          <w:noProof w:val="0"/>
          <w:color w:val="17365D"/>
        </w:rPr>
        <w:t xml:space="preserve"> </w:t>
      </w:r>
    </w:p>
    <w:p w14:paraId="75A9C310" w14:textId="729B04F9" w:rsidR="00027730" w:rsidRPr="00D613A6" w:rsidRDefault="00945AD5" w:rsidP="00A001CD">
      <w:pPr>
        <w:spacing w:before="120"/>
        <w:rPr>
          <w:color w:val="17365D"/>
        </w:rPr>
      </w:pPr>
      <w:r w:rsidRPr="00D613A6">
        <w:rPr>
          <w:color w:val="17365D"/>
        </w:rPr>
        <w:t xml:space="preserve">Papildus </w:t>
      </w:r>
      <w:r w:rsidR="00DD34A3" w:rsidRPr="00D613A6">
        <w:rPr>
          <w:color w:val="17365D"/>
        </w:rPr>
        <w:t xml:space="preserve">informāciju par valsts budžetu var iegūt </w:t>
      </w:r>
      <w:r w:rsidR="00191EB1" w:rsidRPr="00D613A6">
        <w:rPr>
          <w:color w:val="17365D"/>
        </w:rPr>
        <w:t xml:space="preserve">Finanšu ministrijas mājas lapā: </w:t>
      </w:r>
      <w:hyperlink r:id="rId18" w:history="1">
        <w:r w:rsidR="00027730" w:rsidRPr="00D613A6">
          <w:rPr>
            <w:rStyle w:val="Hyperlink"/>
            <w:color w:val="17365D"/>
          </w:rPr>
          <w:t>https://www.fm.gov.lv/lv/interaktivie-budzeta-riki</w:t>
        </w:r>
      </w:hyperlink>
      <w:r w:rsidR="00D95831" w:rsidRPr="00D613A6">
        <w:rPr>
          <w:color w:val="17365D"/>
        </w:rPr>
        <w:t>, kur p</w:t>
      </w:r>
      <w:r w:rsidR="00DD34A3" w:rsidRPr="00D613A6">
        <w:rPr>
          <w:color w:val="17365D"/>
        </w:rPr>
        <w:t>ieejamas d</w:t>
      </w:r>
      <w:r w:rsidR="00027730" w:rsidRPr="00D613A6">
        <w:rPr>
          <w:color w:val="17365D"/>
        </w:rPr>
        <w:t xml:space="preserve">ivas sadaļas: </w:t>
      </w:r>
    </w:p>
    <w:p w14:paraId="573A5BE1" w14:textId="50DDE330" w:rsidR="00027730" w:rsidRPr="00D613A6" w:rsidRDefault="00027730" w:rsidP="008750F0">
      <w:pPr>
        <w:pStyle w:val="Bullets"/>
        <w:numPr>
          <w:ilvl w:val="0"/>
          <w:numId w:val="7"/>
        </w:numPr>
        <w:ind w:left="993" w:hanging="426"/>
        <w:rPr>
          <w:color w:val="17365D"/>
        </w:rPr>
      </w:pPr>
      <w:r w:rsidRPr="00D613A6">
        <w:rPr>
          <w:color w:val="17365D"/>
        </w:rPr>
        <w:t>interaktīvais budžets</w:t>
      </w:r>
      <w:r w:rsidR="00DD34A3" w:rsidRPr="00D613A6">
        <w:rPr>
          <w:color w:val="17365D"/>
        </w:rPr>
        <w:t>,</w:t>
      </w:r>
      <w:r w:rsidRPr="00D613A6">
        <w:rPr>
          <w:color w:val="17365D"/>
        </w:rPr>
        <w:t xml:space="preserve"> </w:t>
      </w:r>
      <w:r w:rsidR="00191EB1" w:rsidRPr="00D613A6">
        <w:rPr>
          <w:color w:val="17365D"/>
        </w:rPr>
        <w:t>kur ar interaktīviem budžeta rīkiem var iegūt informāciju par kopēj</w:t>
      </w:r>
      <w:r w:rsidR="00D95831" w:rsidRPr="00D613A6">
        <w:rPr>
          <w:color w:val="17365D"/>
        </w:rPr>
        <w:t>iem</w:t>
      </w:r>
      <w:r w:rsidR="00191EB1" w:rsidRPr="00D613A6">
        <w:rPr>
          <w:color w:val="17365D"/>
        </w:rPr>
        <w:t xml:space="preserve"> valsts budžeta rādītājiem un valsts budžeta sadalījumu </w:t>
      </w:r>
      <w:r w:rsidR="008B5123" w:rsidRPr="00D613A6">
        <w:rPr>
          <w:color w:val="17365D"/>
        </w:rPr>
        <w:t xml:space="preserve">pa </w:t>
      </w:r>
      <w:r w:rsidR="00191EB1" w:rsidRPr="00D613A6">
        <w:rPr>
          <w:color w:val="17365D"/>
        </w:rPr>
        <w:t>nozarē</w:t>
      </w:r>
      <w:r w:rsidR="008B5123" w:rsidRPr="00D613A6">
        <w:rPr>
          <w:color w:val="17365D"/>
        </w:rPr>
        <w:t>m</w:t>
      </w:r>
      <w:r w:rsidR="00D95831" w:rsidRPr="00D613A6">
        <w:rPr>
          <w:color w:val="17365D"/>
        </w:rPr>
        <w:t>;</w:t>
      </w:r>
      <w:r w:rsidR="008B5123" w:rsidRPr="00D613A6">
        <w:rPr>
          <w:color w:val="17365D"/>
        </w:rPr>
        <w:t xml:space="preserve"> </w:t>
      </w:r>
    </w:p>
    <w:p w14:paraId="5F48BAC5" w14:textId="528C40AA" w:rsidR="00191EB1" w:rsidRPr="00D613A6" w:rsidRDefault="00DD34A3" w:rsidP="008750F0">
      <w:pPr>
        <w:pStyle w:val="Bullets"/>
        <w:numPr>
          <w:ilvl w:val="0"/>
          <w:numId w:val="7"/>
        </w:numPr>
        <w:ind w:left="993" w:hanging="426"/>
        <w:rPr>
          <w:color w:val="17365D"/>
        </w:rPr>
      </w:pPr>
      <w:r w:rsidRPr="00D613A6">
        <w:rPr>
          <w:color w:val="17365D"/>
        </w:rPr>
        <w:t>v</w:t>
      </w:r>
      <w:r w:rsidR="00027730" w:rsidRPr="00D613A6">
        <w:rPr>
          <w:color w:val="17365D"/>
        </w:rPr>
        <w:t>alsts budžet</w:t>
      </w:r>
      <w:r w:rsidR="00D95831" w:rsidRPr="00D613A6">
        <w:rPr>
          <w:color w:val="17365D"/>
        </w:rPr>
        <w:t>a</w:t>
      </w:r>
      <w:r w:rsidR="00027730" w:rsidRPr="00D613A6">
        <w:rPr>
          <w:color w:val="17365D"/>
        </w:rPr>
        <w:t xml:space="preserve"> strukturizētie skaidrojumi </w:t>
      </w:r>
      <w:r w:rsidRPr="00D613A6">
        <w:rPr>
          <w:color w:val="17365D"/>
        </w:rPr>
        <w:t>pa g</w:t>
      </w:r>
      <w:r w:rsidR="00027730" w:rsidRPr="00D613A6">
        <w:rPr>
          <w:color w:val="17365D"/>
        </w:rPr>
        <w:t>adiem</w:t>
      </w:r>
      <w:r w:rsidR="00D95831" w:rsidRPr="00D613A6">
        <w:rPr>
          <w:color w:val="17365D"/>
        </w:rPr>
        <w:t>,</w:t>
      </w:r>
      <w:r w:rsidR="00027730" w:rsidRPr="00D613A6">
        <w:rPr>
          <w:color w:val="17365D"/>
        </w:rPr>
        <w:t xml:space="preserve"> sākot no</w:t>
      </w:r>
      <w:r w:rsidR="00D95831" w:rsidRPr="00D613A6">
        <w:rPr>
          <w:color w:val="17365D"/>
        </w:rPr>
        <w:t xml:space="preserve"> </w:t>
      </w:r>
      <w:r w:rsidR="00027730" w:rsidRPr="00D613A6">
        <w:rPr>
          <w:color w:val="17365D"/>
        </w:rPr>
        <w:t>2017.</w:t>
      </w:r>
      <w:r w:rsidR="00D95831" w:rsidRPr="00D613A6">
        <w:rPr>
          <w:color w:val="17365D"/>
        </w:rPr>
        <w:t> </w:t>
      </w:r>
      <w:r w:rsidR="00893F33" w:rsidRPr="00D613A6">
        <w:rPr>
          <w:color w:val="17365D"/>
        </w:rPr>
        <w:t>gada līdz 2024</w:t>
      </w:r>
      <w:r w:rsidR="00027730" w:rsidRPr="00D613A6">
        <w:rPr>
          <w:color w:val="17365D"/>
        </w:rPr>
        <w:t>.</w:t>
      </w:r>
      <w:r w:rsidRPr="00D613A6">
        <w:rPr>
          <w:color w:val="17365D"/>
        </w:rPr>
        <w:t> </w:t>
      </w:r>
      <w:r w:rsidR="00027730" w:rsidRPr="00D613A6">
        <w:rPr>
          <w:color w:val="17365D"/>
        </w:rPr>
        <w:t>gada</w:t>
      </w:r>
      <w:r w:rsidR="00D95831" w:rsidRPr="00D613A6">
        <w:rPr>
          <w:color w:val="17365D"/>
        </w:rPr>
        <w:t>m</w:t>
      </w:r>
      <w:r w:rsidR="00027730" w:rsidRPr="00D613A6">
        <w:rPr>
          <w:color w:val="17365D"/>
        </w:rPr>
        <w:t xml:space="preserve">. </w:t>
      </w:r>
      <w:r w:rsidRPr="00D613A6">
        <w:rPr>
          <w:color w:val="17365D"/>
        </w:rPr>
        <w:t>Kā piemēram,</w:t>
      </w:r>
      <w:r w:rsidR="00893F33" w:rsidRPr="00D613A6">
        <w:rPr>
          <w:color w:val="17365D"/>
        </w:rPr>
        <w:t xml:space="preserve"> sadaļā 2024</w:t>
      </w:r>
      <w:r w:rsidR="00191EB1" w:rsidRPr="00D613A6">
        <w:rPr>
          <w:color w:val="17365D"/>
        </w:rPr>
        <w:t>.</w:t>
      </w:r>
      <w:r w:rsidR="00D95831" w:rsidRPr="00D613A6">
        <w:rPr>
          <w:color w:val="17365D"/>
        </w:rPr>
        <w:t> </w:t>
      </w:r>
      <w:r w:rsidR="00191EB1" w:rsidRPr="00D613A6">
        <w:rPr>
          <w:color w:val="17365D"/>
        </w:rPr>
        <w:t>gada valsts budžeta strukturētie paskaidrojumi iegūstama informācija par nozaru darbības mērķiem: plānotie</w:t>
      </w:r>
      <w:r w:rsidR="008B5123" w:rsidRPr="00D613A6">
        <w:rPr>
          <w:color w:val="17365D"/>
        </w:rPr>
        <w:t>m</w:t>
      </w:r>
      <w:r w:rsidR="00191EB1" w:rsidRPr="00D613A6">
        <w:rPr>
          <w:color w:val="17365D"/>
        </w:rPr>
        <w:t xml:space="preserve"> </w:t>
      </w:r>
      <w:r w:rsidR="00191EB1" w:rsidRPr="00D613A6">
        <w:rPr>
          <w:color w:val="17365D"/>
        </w:rPr>
        <w:lastRenderedPageBreak/>
        <w:t>izdevumi</w:t>
      </w:r>
      <w:r w:rsidR="008B5123" w:rsidRPr="00D613A6">
        <w:rPr>
          <w:color w:val="17365D"/>
        </w:rPr>
        <w:t>em</w:t>
      </w:r>
      <w:r w:rsidR="00191EB1" w:rsidRPr="00D613A6">
        <w:rPr>
          <w:color w:val="17365D"/>
        </w:rPr>
        <w:t>, politikas mērķi</w:t>
      </w:r>
      <w:r w:rsidR="008B5123" w:rsidRPr="00D613A6">
        <w:rPr>
          <w:color w:val="17365D"/>
        </w:rPr>
        <w:t>em</w:t>
      </w:r>
      <w:r w:rsidR="00191EB1" w:rsidRPr="00D613A6">
        <w:rPr>
          <w:color w:val="17365D"/>
        </w:rPr>
        <w:t xml:space="preserve"> un rezultatīvie</w:t>
      </w:r>
      <w:r w:rsidR="008B5123" w:rsidRPr="00D613A6">
        <w:rPr>
          <w:color w:val="17365D"/>
        </w:rPr>
        <w:t>m</w:t>
      </w:r>
      <w:r w:rsidR="00191EB1" w:rsidRPr="00D613A6">
        <w:rPr>
          <w:color w:val="17365D"/>
        </w:rPr>
        <w:t xml:space="preserve"> rādītāji</w:t>
      </w:r>
      <w:r w:rsidR="008B5123" w:rsidRPr="00D613A6">
        <w:rPr>
          <w:color w:val="17365D"/>
        </w:rPr>
        <w:t>em</w:t>
      </w:r>
      <w:r w:rsidR="00191EB1" w:rsidRPr="00D613A6">
        <w:rPr>
          <w:color w:val="17365D"/>
        </w:rPr>
        <w:t>, plānotās un faktiskās vērtības</w:t>
      </w:r>
      <w:r w:rsidR="008B5123" w:rsidRPr="00D613A6">
        <w:rPr>
          <w:color w:val="17365D"/>
        </w:rPr>
        <w:t xml:space="preserve">, programmu mērķi, galvenās aktivitātes. Tabulu veidā pieejama informācija par darbības rezultātiem un to rezultatīviem rādītājiem no 2021. līdz 2025. gadam, </w:t>
      </w:r>
      <w:r w:rsidR="00D95831" w:rsidRPr="00D613A6">
        <w:rPr>
          <w:color w:val="17365D"/>
        </w:rPr>
        <w:t xml:space="preserve">par </w:t>
      </w:r>
      <w:r w:rsidR="008B5123" w:rsidRPr="00D613A6">
        <w:rPr>
          <w:color w:val="17365D"/>
        </w:rPr>
        <w:t>finansiāliem rādītājiem no 2021. līdz 2025.</w:t>
      </w:r>
      <w:r w:rsidR="00114C3F" w:rsidRPr="00D613A6">
        <w:rPr>
          <w:color w:val="17365D"/>
        </w:rPr>
        <w:t> </w:t>
      </w:r>
      <w:r w:rsidR="008B5123" w:rsidRPr="00D613A6">
        <w:rPr>
          <w:color w:val="17365D"/>
        </w:rPr>
        <w:t>gadam un izm</w:t>
      </w:r>
      <w:r w:rsidR="00893F33" w:rsidRPr="00D613A6">
        <w:rPr>
          <w:color w:val="17365D"/>
        </w:rPr>
        <w:t>aiņas izdevumos, salīdzinot 2024</w:t>
      </w:r>
      <w:r w:rsidR="008B5123" w:rsidRPr="00D613A6">
        <w:rPr>
          <w:color w:val="17365D"/>
        </w:rPr>
        <w:t xml:space="preserve">. </w:t>
      </w:r>
      <w:r w:rsidR="00893F33" w:rsidRPr="00D613A6">
        <w:rPr>
          <w:color w:val="17365D"/>
        </w:rPr>
        <w:t>gada plānu ar 2023</w:t>
      </w:r>
      <w:r w:rsidR="008B5123" w:rsidRPr="00D613A6">
        <w:rPr>
          <w:color w:val="17365D"/>
        </w:rPr>
        <w:t>. gada plānu.</w:t>
      </w:r>
    </w:p>
    <w:p w14:paraId="638F0690" w14:textId="175DF1FC" w:rsidR="00826713" w:rsidRPr="00D613A6" w:rsidRDefault="00826713" w:rsidP="00826713">
      <w:pPr>
        <w:pStyle w:val="Pamatteksts1"/>
        <w:spacing w:after="0"/>
        <w:rPr>
          <w:noProof w:val="0"/>
          <w:color w:val="17365D"/>
        </w:rPr>
      </w:pPr>
      <w:r w:rsidRPr="00D613A6">
        <w:rPr>
          <w:noProof w:val="0"/>
          <w:color w:val="17365D"/>
        </w:rPr>
        <w:t>Valsts pamatbudžeta izdevumi 202</w:t>
      </w:r>
      <w:r w:rsidR="00893F33" w:rsidRPr="00D613A6">
        <w:rPr>
          <w:noProof w:val="0"/>
          <w:color w:val="17365D"/>
        </w:rPr>
        <w:t>4</w:t>
      </w:r>
      <w:r w:rsidRPr="00D613A6">
        <w:rPr>
          <w:noProof w:val="0"/>
          <w:color w:val="17365D"/>
        </w:rPr>
        <w:t>.</w:t>
      </w:r>
      <w:r w:rsidR="00D95831" w:rsidRPr="00D613A6">
        <w:rPr>
          <w:noProof w:val="0"/>
          <w:color w:val="17365D"/>
        </w:rPr>
        <w:t> </w:t>
      </w:r>
      <w:r w:rsidRPr="00D613A6">
        <w:rPr>
          <w:noProof w:val="0"/>
          <w:color w:val="17365D"/>
        </w:rPr>
        <w:t xml:space="preserve">gadā </w:t>
      </w:r>
      <w:r w:rsidR="00B5784D" w:rsidRPr="00D613A6">
        <w:rPr>
          <w:noProof w:val="0"/>
          <w:color w:val="17365D"/>
        </w:rPr>
        <w:t>ir</w:t>
      </w:r>
      <w:r w:rsidR="00893F33" w:rsidRPr="00D613A6">
        <w:rPr>
          <w:noProof w:val="0"/>
          <w:color w:val="17365D"/>
        </w:rPr>
        <w:t xml:space="preserve"> 11</w:t>
      </w:r>
      <w:r w:rsidR="00D95831" w:rsidRPr="00D613A6">
        <w:rPr>
          <w:noProof w:val="0"/>
          <w:color w:val="17365D"/>
        </w:rPr>
        <w:t> </w:t>
      </w:r>
      <w:r w:rsidR="00893F33" w:rsidRPr="00D613A6">
        <w:rPr>
          <w:noProof w:val="0"/>
          <w:color w:val="17365D"/>
        </w:rPr>
        <w:t>084</w:t>
      </w:r>
      <w:r w:rsidRPr="00D613A6">
        <w:rPr>
          <w:noProof w:val="0"/>
          <w:color w:val="17365D"/>
        </w:rPr>
        <w:t>,</w:t>
      </w:r>
      <w:r w:rsidR="00893F33" w:rsidRPr="00D613A6">
        <w:rPr>
          <w:noProof w:val="0"/>
          <w:color w:val="17365D"/>
        </w:rPr>
        <w:t>8</w:t>
      </w:r>
      <w:r w:rsidRPr="00D613A6">
        <w:rPr>
          <w:noProof w:val="0"/>
          <w:color w:val="17365D"/>
        </w:rPr>
        <w:t xml:space="preserve"> milj. </w:t>
      </w:r>
      <w:r w:rsidRPr="00D613A6">
        <w:rPr>
          <w:i/>
          <w:noProof w:val="0"/>
          <w:color w:val="17365D"/>
        </w:rPr>
        <w:t>euro</w:t>
      </w:r>
      <w:r w:rsidRPr="00D613A6">
        <w:rPr>
          <w:noProof w:val="0"/>
          <w:color w:val="17365D"/>
        </w:rPr>
        <w:t xml:space="preserve"> vērtībā, tai skaitā izdevumi valsts pamatfunkciju nodrošināšanai </w:t>
      </w:r>
      <w:r w:rsidR="00B5784D" w:rsidRPr="00D613A6">
        <w:rPr>
          <w:noProof w:val="0"/>
          <w:color w:val="17365D"/>
        </w:rPr>
        <w:t>ir</w:t>
      </w:r>
      <w:r w:rsidR="00893F33" w:rsidRPr="00D613A6">
        <w:rPr>
          <w:noProof w:val="0"/>
          <w:color w:val="17365D"/>
        </w:rPr>
        <w:t xml:space="preserve"> 9</w:t>
      </w:r>
      <w:r w:rsidR="00D95831" w:rsidRPr="00D613A6">
        <w:rPr>
          <w:noProof w:val="0"/>
          <w:color w:val="17365D"/>
        </w:rPr>
        <w:t> </w:t>
      </w:r>
      <w:r w:rsidR="00893F33" w:rsidRPr="00D613A6">
        <w:rPr>
          <w:noProof w:val="0"/>
          <w:color w:val="17365D"/>
        </w:rPr>
        <w:t>268</w:t>
      </w:r>
      <w:r w:rsidR="00631439" w:rsidRPr="00D613A6">
        <w:rPr>
          <w:noProof w:val="0"/>
          <w:color w:val="17365D"/>
        </w:rPr>
        <w:t>,1</w:t>
      </w:r>
      <w:r w:rsidRPr="00D613A6">
        <w:rPr>
          <w:noProof w:val="0"/>
          <w:color w:val="17365D"/>
        </w:rPr>
        <w:t xml:space="preserve"> milj. </w:t>
      </w:r>
      <w:r w:rsidRPr="00D613A6">
        <w:rPr>
          <w:i/>
          <w:noProof w:val="0"/>
          <w:color w:val="17365D"/>
        </w:rPr>
        <w:t>euro</w:t>
      </w:r>
      <w:r w:rsidRPr="00D613A6">
        <w:rPr>
          <w:noProof w:val="0"/>
          <w:color w:val="17365D"/>
        </w:rPr>
        <w:t xml:space="preserve"> vērtībā, kas sal</w:t>
      </w:r>
      <w:r w:rsidR="00631439" w:rsidRPr="00D613A6">
        <w:rPr>
          <w:noProof w:val="0"/>
          <w:color w:val="17365D"/>
        </w:rPr>
        <w:t>īdzinot ar 202</w:t>
      </w:r>
      <w:r w:rsidR="00893F33" w:rsidRPr="00D613A6">
        <w:rPr>
          <w:noProof w:val="0"/>
          <w:color w:val="17365D"/>
        </w:rPr>
        <w:t>3</w:t>
      </w:r>
      <w:r w:rsidR="00631439" w:rsidRPr="00D613A6">
        <w:rPr>
          <w:noProof w:val="0"/>
          <w:color w:val="17365D"/>
        </w:rPr>
        <w:t xml:space="preserve">. gadu ir par </w:t>
      </w:r>
      <w:r w:rsidR="00893F33" w:rsidRPr="00D613A6">
        <w:rPr>
          <w:noProof w:val="0"/>
          <w:color w:val="17365D"/>
        </w:rPr>
        <w:t>64</w:t>
      </w:r>
      <w:r w:rsidR="00E5567B" w:rsidRPr="00D613A6">
        <w:rPr>
          <w:noProof w:val="0"/>
          <w:color w:val="17365D"/>
        </w:rPr>
        <w:t>1,0</w:t>
      </w:r>
      <w:r w:rsidRPr="00D613A6">
        <w:rPr>
          <w:noProof w:val="0"/>
          <w:color w:val="17365D"/>
        </w:rPr>
        <w:t xml:space="preserve"> milj. </w:t>
      </w:r>
      <w:r w:rsidRPr="00D613A6">
        <w:rPr>
          <w:i/>
          <w:noProof w:val="0"/>
          <w:color w:val="17365D"/>
        </w:rPr>
        <w:t>euro</w:t>
      </w:r>
      <w:r w:rsidR="00E5567B" w:rsidRPr="00D613A6">
        <w:rPr>
          <w:noProof w:val="0"/>
          <w:color w:val="17365D"/>
        </w:rPr>
        <w:t xml:space="preserve"> jeb 7</w:t>
      </w:r>
      <w:r w:rsidRPr="00D613A6">
        <w:rPr>
          <w:noProof w:val="0"/>
          <w:color w:val="17365D"/>
        </w:rPr>
        <w:t>,</w:t>
      </w:r>
      <w:r w:rsidR="00E5567B" w:rsidRPr="00D613A6">
        <w:rPr>
          <w:noProof w:val="0"/>
          <w:color w:val="17365D"/>
        </w:rPr>
        <w:t>43</w:t>
      </w:r>
      <w:r w:rsidR="00D95831" w:rsidRPr="00D613A6">
        <w:rPr>
          <w:noProof w:val="0"/>
          <w:color w:val="17365D"/>
        </w:rPr>
        <w:t> </w:t>
      </w:r>
      <w:r w:rsidRPr="00D613A6">
        <w:rPr>
          <w:noProof w:val="0"/>
          <w:color w:val="17365D"/>
        </w:rPr>
        <w:t xml:space="preserve">% </w:t>
      </w:r>
      <w:r w:rsidR="00E5567B" w:rsidRPr="00D613A6">
        <w:rPr>
          <w:noProof w:val="0"/>
          <w:color w:val="17365D"/>
        </w:rPr>
        <w:t>vairāk</w:t>
      </w:r>
      <w:r w:rsidRPr="00D613A6">
        <w:rPr>
          <w:noProof w:val="0"/>
          <w:color w:val="17365D"/>
        </w:rPr>
        <w:t>, un izdevumi Eiropas Savienības (ES) politiku instrumentu un pārējās ārvalstu finanšu palīdzības līdzfinansēto un finansēto projektu un pasākumu īstenošanai 1</w:t>
      </w:r>
      <w:r w:rsidR="00D95831" w:rsidRPr="00D613A6">
        <w:rPr>
          <w:noProof w:val="0"/>
          <w:color w:val="17365D"/>
        </w:rPr>
        <w:t> </w:t>
      </w:r>
      <w:r w:rsidR="00E5567B" w:rsidRPr="00D613A6">
        <w:rPr>
          <w:noProof w:val="0"/>
          <w:color w:val="17365D"/>
        </w:rPr>
        <w:t>816,7</w:t>
      </w:r>
      <w:r w:rsidRPr="00D613A6">
        <w:rPr>
          <w:noProof w:val="0"/>
          <w:color w:val="17365D"/>
        </w:rPr>
        <w:t xml:space="preserve"> milj. </w:t>
      </w:r>
      <w:r w:rsidRPr="00D613A6">
        <w:rPr>
          <w:i/>
          <w:noProof w:val="0"/>
          <w:color w:val="17365D"/>
        </w:rPr>
        <w:t>euro</w:t>
      </w:r>
      <w:r w:rsidRPr="00D613A6">
        <w:rPr>
          <w:noProof w:val="0"/>
          <w:color w:val="17365D"/>
        </w:rPr>
        <w:t xml:space="preserve"> vērtībā, kas salīdzinot ar 202</w:t>
      </w:r>
      <w:r w:rsidR="00E5567B" w:rsidRPr="00D613A6">
        <w:rPr>
          <w:noProof w:val="0"/>
          <w:color w:val="17365D"/>
        </w:rPr>
        <w:t>3</w:t>
      </w:r>
      <w:r w:rsidRPr="00D613A6">
        <w:rPr>
          <w:noProof w:val="0"/>
          <w:color w:val="17365D"/>
        </w:rPr>
        <w:t>.</w:t>
      </w:r>
      <w:r w:rsidR="007B722C" w:rsidRPr="00D613A6">
        <w:rPr>
          <w:noProof w:val="0"/>
          <w:color w:val="17365D"/>
        </w:rPr>
        <w:t xml:space="preserve"> </w:t>
      </w:r>
      <w:r w:rsidRPr="00D613A6">
        <w:rPr>
          <w:noProof w:val="0"/>
          <w:color w:val="17365D"/>
        </w:rPr>
        <w:t xml:space="preserve">gadu ir par </w:t>
      </w:r>
      <w:r w:rsidR="00E5567B" w:rsidRPr="00D613A6">
        <w:rPr>
          <w:noProof w:val="0"/>
          <w:color w:val="17365D"/>
        </w:rPr>
        <w:t>126,4</w:t>
      </w:r>
      <w:r w:rsidRPr="00D613A6">
        <w:rPr>
          <w:noProof w:val="0"/>
          <w:color w:val="17365D"/>
        </w:rPr>
        <w:t xml:space="preserve"> milj. </w:t>
      </w:r>
      <w:r w:rsidR="00D95831" w:rsidRPr="00D613A6">
        <w:rPr>
          <w:i/>
          <w:noProof w:val="0"/>
          <w:color w:val="17365D"/>
        </w:rPr>
        <w:t>euro</w:t>
      </w:r>
      <w:r w:rsidR="00D95831" w:rsidRPr="00D613A6">
        <w:rPr>
          <w:noProof w:val="0"/>
          <w:color w:val="17365D"/>
        </w:rPr>
        <w:t xml:space="preserve"> </w:t>
      </w:r>
      <w:r w:rsidRPr="00D613A6">
        <w:rPr>
          <w:noProof w:val="0"/>
          <w:color w:val="17365D"/>
        </w:rPr>
        <w:t xml:space="preserve">jeb </w:t>
      </w:r>
      <w:r w:rsidR="00E5567B" w:rsidRPr="00D613A6">
        <w:rPr>
          <w:noProof w:val="0"/>
          <w:color w:val="17365D"/>
        </w:rPr>
        <w:t>6,51</w:t>
      </w:r>
      <w:r w:rsidR="00D95831" w:rsidRPr="00D613A6">
        <w:rPr>
          <w:noProof w:val="0"/>
          <w:color w:val="17365D"/>
        </w:rPr>
        <w:t> </w:t>
      </w:r>
      <w:r w:rsidRPr="00D613A6">
        <w:rPr>
          <w:noProof w:val="0"/>
          <w:color w:val="17365D"/>
        </w:rPr>
        <w:t xml:space="preserve">% </w:t>
      </w:r>
      <w:r w:rsidR="00E5567B" w:rsidRPr="00D613A6">
        <w:rPr>
          <w:noProof w:val="0"/>
          <w:color w:val="17365D"/>
        </w:rPr>
        <w:t>mazāk</w:t>
      </w:r>
      <w:r w:rsidRPr="00D613A6">
        <w:rPr>
          <w:noProof w:val="0"/>
          <w:color w:val="17365D"/>
        </w:rPr>
        <w:t>.</w:t>
      </w:r>
      <w:r w:rsidR="003D0A28" w:rsidRPr="00D613A6">
        <w:rPr>
          <w:noProof w:val="0"/>
          <w:color w:val="17365D"/>
        </w:rPr>
        <w:t xml:space="preserve"> </w:t>
      </w:r>
      <w:r w:rsidRPr="00D613A6">
        <w:rPr>
          <w:noProof w:val="0"/>
          <w:color w:val="17365D"/>
        </w:rPr>
        <w:t>Det</w:t>
      </w:r>
      <w:r w:rsidR="00E5567B" w:rsidRPr="00D613A6">
        <w:rPr>
          <w:noProof w:val="0"/>
          <w:color w:val="17365D"/>
        </w:rPr>
        <w:t>alizēta informācija skatāma 2024</w:t>
      </w:r>
      <w:r w:rsidRPr="00D613A6">
        <w:rPr>
          <w:noProof w:val="0"/>
          <w:color w:val="17365D"/>
        </w:rPr>
        <w:t>.</w:t>
      </w:r>
      <w:r w:rsidR="00D95831" w:rsidRPr="00D613A6">
        <w:rPr>
          <w:noProof w:val="0"/>
          <w:color w:val="17365D"/>
        </w:rPr>
        <w:t> </w:t>
      </w:r>
      <w:r w:rsidRPr="00D613A6">
        <w:rPr>
          <w:noProof w:val="0"/>
          <w:color w:val="17365D"/>
        </w:rPr>
        <w:t xml:space="preserve">gada pārskata </w:t>
      </w:r>
      <w:r w:rsidR="000321C6" w:rsidRPr="00D613A6">
        <w:rPr>
          <w:noProof w:val="0"/>
          <w:color w:val="17365D"/>
        </w:rPr>
        <w:t>9. tabula</w:t>
      </w:r>
      <w:r w:rsidRPr="00D613A6">
        <w:rPr>
          <w:noProof w:val="0"/>
          <w:color w:val="17365D"/>
        </w:rPr>
        <w:t xml:space="preserve"> “Likuma par valsts budžetu 3.</w:t>
      </w:r>
      <w:r w:rsidR="008A49E3" w:rsidRPr="00D613A6">
        <w:rPr>
          <w:noProof w:val="0"/>
          <w:color w:val="17365D"/>
        </w:rPr>
        <w:t> </w:t>
      </w:r>
      <w:r w:rsidRPr="00D613A6">
        <w:rPr>
          <w:noProof w:val="0"/>
          <w:color w:val="17365D"/>
        </w:rPr>
        <w:t>pielikuma “Valsts pamatbudžeta un valsts speciālā budžeta kopsavilkums” izpilde”.</w:t>
      </w:r>
    </w:p>
    <w:p w14:paraId="05A4FB71" w14:textId="39D23C6B" w:rsidR="00826713" w:rsidRPr="00D613A6" w:rsidRDefault="00826713" w:rsidP="006921AC">
      <w:pPr>
        <w:spacing w:before="120"/>
        <w:jc w:val="center"/>
        <w:rPr>
          <w:color w:val="17365D"/>
        </w:rPr>
      </w:pPr>
    </w:p>
    <w:p w14:paraId="15FE70AA" w14:textId="2CEA89FF" w:rsidR="00332959" w:rsidRPr="00D613A6" w:rsidRDefault="00332959" w:rsidP="001C4BD9">
      <w:pPr>
        <w:pStyle w:val="Heading1"/>
        <w:spacing w:before="120"/>
        <w:rPr>
          <w:rFonts w:cs="Times New Roman"/>
          <w:noProof w:val="0"/>
          <w:color w:val="17365D"/>
        </w:rPr>
      </w:pPr>
      <w:r w:rsidRPr="00D613A6">
        <w:rPr>
          <w:rFonts w:cs="Times New Roman"/>
          <w:noProof w:val="0"/>
          <w:color w:val="17365D"/>
        </w:rPr>
        <w:t xml:space="preserve">Valsts </w:t>
      </w:r>
      <w:r w:rsidR="00B556DF" w:rsidRPr="00D613A6">
        <w:rPr>
          <w:rFonts w:cs="Times New Roman"/>
          <w:noProof w:val="0"/>
          <w:color w:val="17365D"/>
        </w:rPr>
        <w:t xml:space="preserve">konsolidētais </w:t>
      </w:r>
      <w:r w:rsidRPr="00D613A6">
        <w:rPr>
          <w:rFonts w:cs="Times New Roman"/>
          <w:noProof w:val="0"/>
          <w:color w:val="17365D"/>
        </w:rPr>
        <w:t>speciālais budžets</w:t>
      </w:r>
    </w:p>
    <w:p w14:paraId="76BA2856" w14:textId="257C4EDB" w:rsidR="0064022F" w:rsidRPr="00D613A6" w:rsidRDefault="00F15F79" w:rsidP="009C6221">
      <w:pPr>
        <w:pStyle w:val="Pamatteksts1"/>
        <w:rPr>
          <w:noProof w:val="0"/>
          <w:color w:val="17365D"/>
        </w:rPr>
      </w:pPr>
      <w:r w:rsidRPr="00D613A6">
        <w:rPr>
          <w:b/>
          <w:color w:val="17365D"/>
        </w:rPr>
        <mc:AlternateContent>
          <mc:Choice Requires="wps">
            <w:drawing>
              <wp:anchor distT="0" distB="0" distL="114300" distR="114300" simplePos="0" relativeHeight="251662848" behindDoc="1" locked="0" layoutInCell="1" allowOverlap="1" wp14:anchorId="40FB1FAC" wp14:editId="5E3C1B4C">
                <wp:simplePos x="0" y="0"/>
                <wp:positionH relativeFrom="column">
                  <wp:posOffset>4259580</wp:posOffset>
                </wp:positionH>
                <wp:positionV relativeFrom="paragraph">
                  <wp:posOffset>947826</wp:posOffset>
                </wp:positionV>
                <wp:extent cx="1680845" cy="746125"/>
                <wp:effectExtent l="0" t="0" r="14605" b="15875"/>
                <wp:wrapThrough wrapText="bothSides">
                  <wp:wrapPolygon edited="0">
                    <wp:start x="0" y="0"/>
                    <wp:lineTo x="0" y="21508"/>
                    <wp:lineTo x="21543" y="21508"/>
                    <wp:lineTo x="21543"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680845" cy="746125"/>
                        </a:xfrm>
                        <a:prstGeom prst="rect">
                          <a:avLst/>
                        </a:prstGeom>
                        <a:solidFill>
                          <a:sysClr val="window" lastClr="FFFFFF"/>
                        </a:solidFill>
                        <a:ln w="25400" cap="flat" cmpd="sng" algn="ctr">
                          <a:solidFill>
                            <a:srgbClr val="17365D"/>
                          </a:solidFill>
                          <a:prstDash val="sysDot"/>
                        </a:ln>
                        <a:effectLst/>
                      </wps:spPr>
                      <wps:txbx>
                        <w:txbxContent>
                          <w:p w14:paraId="56C858F6" w14:textId="1685C54E" w:rsidR="000A5BFC" w:rsidRPr="00FA3852" w:rsidRDefault="000A5BFC"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5B84B048" w:rsidR="000A5BFC" w:rsidRPr="00FA3852" w:rsidRDefault="000A5BFC" w:rsidP="007178D7">
                            <w:pPr>
                              <w:ind w:firstLine="0"/>
                              <w:jc w:val="center"/>
                              <w:rPr>
                                <w:color w:val="17365D"/>
                              </w:rPr>
                            </w:pPr>
                            <w:r w:rsidRPr="005F27D3">
                              <w:rPr>
                                <w:b/>
                                <w:color w:val="17365D"/>
                              </w:rPr>
                              <w:t>4</w:t>
                            </w:r>
                            <w:r>
                              <w:rPr>
                                <w:b/>
                                <w:color w:val="17365D"/>
                              </w:rPr>
                              <w:t xml:space="preserve"> 649 024 521 </w:t>
                            </w:r>
                            <w:r w:rsidRPr="00FA3852">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B1FAC" id="Rectangle 6" o:spid="_x0000_s1030" style="position:absolute;left:0;text-align:left;margin-left:335.4pt;margin-top:74.65pt;width:132.35pt;height:5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" fillcolor="window" strokecolor="#17365d" strokeweight="2pt">
                <v:stroke dashstyle="1 1"/>
                <v:textbox>
                  <w:txbxContent>
                    <w:p w14:paraId="56C858F6" w14:textId="1685C54E" w:rsidR="000A5BFC" w:rsidRPr="00FA3852" w:rsidRDefault="000A5BFC"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5B84B048" w:rsidR="000A5BFC" w:rsidRPr="00FA3852" w:rsidRDefault="000A5BFC" w:rsidP="007178D7">
                      <w:pPr>
                        <w:ind w:firstLine="0"/>
                        <w:jc w:val="center"/>
                        <w:rPr>
                          <w:color w:val="17365D"/>
                        </w:rPr>
                      </w:pPr>
                      <w:r w:rsidRPr="005F27D3">
                        <w:rPr>
                          <w:b/>
                          <w:color w:val="17365D"/>
                        </w:rPr>
                        <w:t>4</w:t>
                      </w:r>
                      <w:r>
                        <w:rPr>
                          <w:b/>
                          <w:color w:val="17365D"/>
                        </w:rPr>
                        <w:t xml:space="preserve"> 649 024 521 </w:t>
                      </w:r>
                      <w:r w:rsidRPr="00FA3852">
                        <w:rPr>
                          <w:i/>
                          <w:color w:val="17365D"/>
                        </w:rPr>
                        <w:t>euro</w:t>
                      </w:r>
                    </w:p>
                  </w:txbxContent>
                </v:textbox>
                <w10:wrap type="through"/>
              </v:rect>
            </w:pict>
          </mc:Fallback>
        </mc:AlternateContent>
      </w:r>
      <w:r w:rsidR="00E46A76" w:rsidRPr="00D613A6">
        <w:rPr>
          <w:noProof w:val="0"/>
          <w:color w:val="17365D"/>
        </w:rPr>
        <w:t>Valsts s</w:t>
      </w:r>
      <w:r w:rsidR="00143FCE" w:rsidRPr="00D613A6">
        <w:rPr>
          <w:noProof w:val="0"/>
          <w:color w:val="17365D"/>
        </w:rPr>
        <w:t>peciālais budžets ir valsts sociālajai apdrošināšanai paredzēta valsts budžeta daļa, valsts sociālās politikas veido</w:t>
      </w:r>
      <w:r w:rsidR="00D267F1" w:rsidRPr="00D613A6">
        <w:rPr>
          <w:noProof w:val="0"/>
          <w:color w:val="17365D"/>
        </w:rPr>
        <w:t>šana</w:t>
      </w:r>
      <w:r w:rsidR="00147FC5" w:rsidRPr="00D613A6">
        <w:rPr>
          <w:noProof w:val="0"/>
          <w:color w:val="17365D"/>
        </w:rPr>
        <w:t>i</w:t>
      </w:r>
      <w:r w:rsidR="00143FCE" w:rsidRPr="00D613A6">
        <w:rPr>
          <w:noProof w:val="0"/>
          <w:color w:val="17365D"/>
        </w:rPr>
        <w:t xml:space="preserve"> apdrošināšanas un valsts sociālo pabalstu jomā</w:t>
      </w:r>
      <w:r w:rsidR="00147FC5" w:rsidRPr="00D613A6">
        <w:rPr>
          <w:noProof w:val="0"/>
          <w:color w:val="17365D"/>
        </w:rPr>
        <w:t>, kuru īsteno Labklājības ministrija</w:t>
      </w:r>
      <w:r w:rsidR="00F66195" w:rsidRPr="00D613A6">
        <w:rPr>
          <w:noProof w:val="0"/>
          <w:color w:val="17365D"/>
        </w:rPr>
        <w:t>.</w:t>
      </w:r>
      <w:r w:rsidR="00143FCE" w:rsidRPr="00D613A6">
        <w:rPr>
          <w:noProof w:val="0"/>
          <w:color w:val="17365D"/>
        </w:rPr>
        <w:t xml:space="preserve"> </w:t>
      </w:r>
      <w:r w:rsidR="008547BC" w:rsidRPr="00D613A6">
        <w:rPr>
          <w:noProof w:val="0"/>
          <w:color w:val="17365D"/>
        </w:rPr>
        <w:t xml:space="preserve">Valsts speciālais budžets </w:t>
      </w:r>
      <w:r w:rsidR="006B3199" w:rsidRPr="00D613A6">
        <w:rPr>
          <w:noProof w:val="0"/>
          <w:color w:val="17365D"/>
        </w:rPr>
        <w:t xml:space="preserve">īsteno </w:t>
      </w:r>
      <w:r w:rsidR="008547BC" w:rsidRPr="00D613A6">
        <w:rPr>
          <w:noProof w:val="0"/>
          <w:color w:val="17365D"/>
        </w:rPr>
        <w:t>piecas apakšprogrammas</w:t>
      </w:r>
      <w:r w:rsidR="00B26141" w:rsidRPr="00D613A6">
        <w:rPr>
          <w:noProof w:val="0"/>
          <w:color w:val="17365D"/>
        </w:rPr>
        <w:t>.</w:t>
      </w:r>
      <w:r w:rsidR="00143FCE" w:rsidRPr="00D613A6">
        <w:rPr>
          <w:noProof w:val="0"/>
          <w:color w:val="17365D"/>
        </w:rPr>
        <w:t xml:space="preserve"> </w:t>
      </w:r>
      <w:r w:rsidR="00867BAA" w:rsidRPr="00D613A6">
        <w:rPr>
          <w:noProof w:val="0"/>
          <w:color w:val="17365D"/>
        </w:rPr>
        <w:t>Detalizēta informācija skatāma 20</w:t>
      </w:r>
      <w:r w:rsidR="00916477" w:rsidRPr="00D613A6">
        <w:rPr>
          <w:noProof w:val="0"/>
          <w:color w:val="17365D"/>
        </w:rPr>
        <w:t>2</w:t>
      </w:r>
      <w:r w:rsidR="00E5567B" w:rsidRPr="00D613A6">
        <w:rPr>
          <w:noProof w:val="0"/>
          <w:color w:val="17365D"/>
        </w:rPr>
        <w:t>4</w:t>
      </w:r>
      <w:r w:rsidR="00867BAA" w:rsidRPr="00D613A6">
        <w:rPr>
          <w:noProof w:val="0"/>
          <w:color w:val="17365D"/>
        </w:rPr>
        <w:t xml:space="preserve">. gada pārskata </w:t>
      </w:r>
      <w:r w:rsidR="000321C6" w:rsidRPr="00D613A6">
        <w:rPr>
          <w:noProof w:val="0"/>
          <w:color w:val="17365D"/>
        </w:rPr>
        <w:t>11. tabula</w:t>
      </w:r>
      <w:r w:rsidR="00867BAA" w:rsidRPr="00D613A6">
        <w:rPr>
          <w:noProof w:val="0"/>
          <w:color w:val="17365D"/>
        </w:rPr>
        <w:t xml:space="preserve"> </w:t>
      </w:r>
      <w:r w:rsidR="00345D0C" w:rsidRPr="00D613A6">
        <w:rPr>
          <w:noProof w:val="0"/>
          <w:color w:val="17365D"/>
        </w:rPr>
        <w:t>“</w:t>
      </w:r>
      <w:r w:rsidR="004079A0" w:rsidRPr="00D613A6">
        <w:rPr>
          <w:noProof w:val="0"/>
          <w:color w:val="17365D"/>
        </w:rPr>
        <w:t>Likuma par valsts budžetu 5.</w:t>
      </w:r>
      <w:r w:rsidR="008A49E3" w:rsidRPr="00D613A6">
        <w:rPr>
          <w:noProof w:val="0"/>
          <w:color w:val="17365D"/>
        </w:rPr>
        <w:t> </w:t>
      </w:r>
      <w:r w:rsidR="004079A0" w:rsidRPr="00D613A6">
        <w:rPr>
          <w:noProof w:val="0"/>
          <w:color w:val="17365D"/>
        </w:rPr>
        <w:t>pielikuma “Valsts speciālā budžeta ieņēmumi un izdevumi pa programmām un apakšprogrammām”</w:t>
      </w:r>
      <w:r w:rsidR="00F66195" w:rsidRPr="00D613A6">
        <w:rPr>
          <w:noProof w:val="0"/>
          <w:color w:val="17365D"/>
        </w:rPr>
        <w:t xml:space="preserve"> izpilde</w:t>
      </w:r>
      <w:r w:rsidR="00B26141" w:rsidRPr="00D613A6">
        <w:rPr>
          <w:noProof w:val="0"/>
          <w:color w:val="17365D"/>
        </w:rPr>
        <w:t>”</w:t>
      </w:r>
      <w:r w:rsidR="0064022F" w:rsidRPr="00D613A6">
        <w:rPr>
          <w:noProof w:val="0"/>
          <w:color w:val="17365D"/>
        </w:rPr>
        <w:t>.</w:t>
      </w:r>
    </w:p>
    <w:p w14:paraId="4D670631" w14:textId="772338AC" w:rsidR="006E4FDD" w:rsidRPr="00D613A6" w:rsidRDefault="00143FCE" w:rsidP="0080478E">
      <w:pPr>
        <w:pStyle w:val="Pamatteksts1"/>
        <w:rPr>
          <w:noProof w:val="0"/>
          <w:color w:val="17365D"/>
        </w:rPr>
      </w:pPr>
      <w:r w:rsidRPr="00D613A6">
        <w:rPr>
          <w:noProof w:val="0"/>
          <w:color w:val="17365D"/>
          <w:u w:val="single"/>
        </w:rPr>
        <w:t>Speciālā budžeta ieņēmumi</w:t>
      </w:r>
      <w:r w:rsidRPr="00D613A6">
        <w:rPr>
          <w:noProof w:val="0"/>
          <w:color w:val="17365D"/>
        </w:rPr>
        <w:t xml:space="preserve"> 20</w:t>
      </w:r>
      <w:r w:rsidR="00916477" w:rsidRPr="00D613A6">
        <w:rPr>
          <w:noProof w:val="0"/>
          <w:color w:val="17365D"/>
        </w:rPr>
        <w:t>2</w:t>
      </w:r>
      <w:r w:rsidR="00E5567B" w:rsidRPr="00D613A6">
        <w:rPr>
          <w:noProof w:val="0"/>
          <w:color w:val="17365D"/>
        </w:rPr>
        <w:t>4</w:t>
      </w:r>
      <w:r w:rsidRPr="00D613A6">
        <w:rPr>
          <w:noProof w:val="0"/>
          <w:color w:val="17365D"/>
        </w:rPr>
        <w:t xml:space="preserve">. gadā ir </w:t>
      </w:r>
      <w:r w:rsidR="005F27D3" w:rsidRPr="00D613A6">
        <w:rPr>
          <w:noProof w:val="0"/>
          <w:color w:val="17365D"/>
        </w:rPr>
        <w:t>4</w:t>
      </w:r>
      <w:r w:rsidRPr="00D613A6">
        <w:rPr>
          <w:noProof w:val="0"/>
          <w:color w:val="17365D"/>
        </w:rPr>
        <w:t> </w:t>
      </w:r>
      <w:r w:rsidR="00E5567B" w:rsidRPr="00D613A6">
        <w:rPr>
          <w:noProof w:val="0"/>
          <w:color w:val="17365D"/>
        </w:rPr>
        <w:t>649</w:t>
      </w:r>
      <w:r w:rsidRPr="00D613A6">
        <w:rPr>
          <w:noProof w:val="0"/>
          <w:color w:val="17365D"/>
        </w:rPr>
        <w:t>,</w:t>
      </w:r>
      <w:r w:rsidR="00E5567B" w:rsidRPr="00D613A6">
        <w:rPr>
          <w:noProof w:val="0"/>
          <w:color w:val="17365D"/>
        </w:rPr>
        <w:t>0</w:t>
      </w:r>
      <w:r w:rsidRPr="00D613A6">
        <w:rPr>
          <w:noProof w:val="0"/>
          <w:color w:val="17365D"/>
        </w:rPr>
        <w:t> milj. </w:t>
      </w:r>
      <w:r w:rsidRPr="00D613A6">
        <w:rPr>
          <w:i/>
          <w:noProof w:val="0"/>
          <w:color w:val="17365D"/>
        </w:rPr>
        <w:t>euro</w:t>
      </w:r>
      <w:r w:rsidRPr="00D613A6">
        <w:rPr>
          <w:noProof w:val="0"/>
          <w:color w:val="17365D"/>
        </w:rPr>
        <w:t xml:space="preserve"> </w:t>
      </w:r>
      <w:r w:rsidR="00B07BC5" w:rsidRPr="00D613A6">
        <w:rPr>
          <w:noProof w:val="0"/>
          <w:color w:val="17365D"/>
        </w:rPr>
        <w:t xml:space="preserve">vērtībā </w:t>
      </w:r>
      <w:r w:rsidR="00612EF5" w:rsidRPr="00D613A6">
        <w:rPr>
          <w:noProof w:val="0"/>
          <w:color w:val="17365D"/>
        </w:rPr>
        <w:t xml:space="preserve">(skatīt </w:t>
      </w:r>
      <w:r w:rsidR="00945AD5" w:rsidRPr="00D613A6">
        <w:rPr>
          <w:noProof w:val="0"/>
          <w:color w:val="17365D"/>
        </w:rPr>
        <w:t>6.</w:t>
      </w:r>
      <w:r w:rsidR="0044403C" w:rsidRPr="00D613A6">
        <w:rPr>
          <w:noProof w:val="0"/>
          <w:color w:val="17365D"/>
        </w:rPr>
        <w:t>6</w:t>
      </w:r>
      <w:r w:rsidR="00612EF5" w:rsidRPr="00D613A6">
        <w:rPr>
          <w:noProof w:val="0"/>
          <w:color w:val="17365D"/>
        </w:rPr>
        <w:t>. tabulu).</w:t>
      </w:r>
      <w:r w:rsidR="00E46A76" w:rsidRPr="00D613A6">
        <w:rPr>
          <w:noProof w:val="0"/>
          <w:color w:val="17365D"/>
        </w:rPr>
        <w:t xml:space="preserve"> </w:t>
      </w:r>
      <w:r w:rsidR="00612EF5" w:rsidRPr="00D613A6">
        <w:rPr>
          <w:noProof w:val="0"/>
          <w:color w:val="17365D"/>
        </w:rPr>
        <w:t>202</w:t>
      </w:r>
      <w:r w:rsidR="00E5567B" w:rsidRPr="00D613A6">
        <w:rPr>
          <w:noProof w:val="0"/>
          <w:color w:val="17365D"/>
        </w:rPr>
        <w:t>4</w:t>
      </w:r>
      <w:r w:rsidR="00612EF5" w:rsidRPr="00D613A6">
        <w:rPr>
          <w:noProof w:val="0"/>
          <w:color w:val="17365D"/>
        </w:rPr>
        <w:t xml:space="preserve">. gadā valsts speciālajā budžetā saņemti </w:t>
      </w:r>
      <w:r w:rsidR="00E5567B" w:rsidRPr="00D613A6">
        <w:rPr>
          <w:noProof w:val="0"/>
          <w:color w:val="17365D"/>
        </w:rPr>
        <w:t>97</w:t>
      </w:r>
      <w:r w:rsidR="00612EF5" w:rsidRPr="00D613A6">
        <w:rPr>
          <w:noProof w:val="0"/>
          <w:color w:val="17365D"/>
        </w:rPr>
        <w:t>,</w:t>
      </w:r>
      <w:r w:rsidR="00E5567B" w:rsidRPr="00D613A6">
        <w:rPr>
          <w:noProof w:val="0"/>
          <w:color w:val="17365D"/>
        </w:rPr>
        <w:t>65</w:t>
      </w:r>
      <w:r w:rsidR="00072ABC" w:rsidRPr="00D613A6">
        <w:rPr>
          <w:noProof w:val="0"/>
          <w:color w:val="17365D"/>
        </w:rPr>
        <w:t> </w:t>
      </w:r>
      <w:r w:rsidR="00612EF5" w:rsidRPr="00D613A6">
        <w:rPr>
          <w:noProof w:val="0"/>
          <w:color w:val="17365D"/>
        </w:rPr>
        <w:t>% no Likumā plānotās gada ieņēmumu kopsummas.</w:t>
      </w:r>
      <w:r w:rsidR="00464B32" w:rsidRPr="00D613A6">
        <w:rPr>
          <w:noProof w:val="0"/>
          <w:color w:val="17365D"/>
        </w:rPr>
        <w:t xml:space="preserve"> </w:t>
      </w:r>
    </w:p>
    <w:p w14:paraId="1AC87F49" w14:textId="77777777" w:rsidR="0080478E" w:rsidRPr="00D613A6" w:rsidRDefault="0080478E" w:rsidP="00E46CC0">
      <w:pPr>
        <w:spacing w:before="160" w:after="0"/>
        <w:ind w:firstLine="0"/>
        <w:jc w:val="right"/>
        <w:rPr>
          <w:rFonts w:eastAsia="Arial Unicode MS"/>
          <w:i/>
          <w:color w:val="17365D"/>
          <w:sz w:val="20"/>
        </w:rPr>
      </w:pPr>
    </w:p>
    <w:p w14:paraId="3770D4FF" w14:textId="576D375A" w:rsidR="00E46CC0" w:rsidRPr="00D613A6" w:rsidRDefault="00945AD5" w:rsidP="00E46CC0">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6</w:t>
      </w:r>
      <w:r w:rsidR="00E46CC0" w:rsidRPr="00D613A6">
        <w:rPr>
          <w:rFonts w:eastAsia="Arial Unicode MS"/>
          <w:i/>
          <w:color w:val="17365D"/>
          <w:sz w:val="20"/>
        </w:rPr>
        <w:t xml:space="preserve">. tabula. </w:t>
      </w:r>
      <w:r w:rsidR="0064022F" w:rsidRPr="00D613A6">
        <w:rPr>
          <w:rFonts w:eastAsia="Arial Unicode MS"/>
          <w:i/>
          <w:color w:val="17365D"/>
          <w:sz w:val="20"/>
        </w:rPr>
        <w:t>Speciālā budžeta i</w:t>
      </w:r>
      <w:r w:rsidR="00E46CC0" w:rsidRPr="00D613A6">
        <w:rPr>
          <w:bCs/>
          <w:i/>
          <w:color w:val="17365D"/>
          <w:sz w:val="20"/>
          <w:szCs w:val="20"/>
        </w:rPr>
        <w:t>eņēmum</w:t>
      </w:r>
      <w:r w:rsidR="0064022F" w:rsidRPr="00D613A6">
        <w:rPr>
          <w:bCs/>
          <w:i/>
          <w:color w:val="17365D"/>
          <w:sz w:val="20"/>
          <w:szCs w:val="20"/>
        </w:rPr>
        <w:t>u</w:t>
      </w:r>
      <w:r w:rsidR="00E46CC0" w:rsidRPr="00D613A6">
        <w:rPr>
          <w:bCs/>
          <w:i/>
          <w:color w:val="17365D"/>
          <w:sz w:val="20"/>
          <w:szCs w:val="20"/>
        </w:rPr>
        <w:t xml:space="preserve"> </w:t>
      </w:r>
      <w:r w:rsidR="0064022F" w:rsidRPr="00D613A6">
        <w:rPr>
          <w:bCs/>
          <w:i/>
          <w:color w:val="17365D"/>
          <w:sz w:val="20"/>
          <w:szCs w:val="20"/>
        </w:rPr>
        <w:t>izmaiņas</w:t>
      </w:r>
      <w:r w:rsidR="00E46CC0" w:rsidRPr="00D613A6">
        <w:rPr>
          <w:bCs/>
          <w:i/>
          <w:color w:val="17365D"/>
          <w:sz w:val="20"/>
          <w:szCs w:val="20"/>
        </w:rPr>
        <w:t xml:space="preserve"> (</w:t>
      </w:r>
      <w:r w:rsidR="00E46CC0" w:rsidRPr="00D613A6">
        <w:rPr>
          <w:i/>
          <w:color w:val="17365D"/>
          <w:sz w:val="20"/>
        </w:rPr>
        <w:t>euro)</w:t>
      </w:r>
    </w:p>
    <w:tbl>
      <w:tblPr>
        <w:tblStyle w:val="TableGrid"/>
        <w:tblW w:w="9384" w:type="dxa"/>
        <w:tblInd w:w="-5" w:type="dxa"/>
        <w:tblLayout w:type="fixed"/>
        <w:tblLook w:val="04A0" w:firstRow="1" w:lastRow="0" w:firstColumn="1" w:lastColumn="0" w:noHBand="0" w:noVBand="1"/>
      </w:tblPr>
      <w:tblGrid>
        <w:gridCol w:w="884"/>
        <w:gridCol w:w="8"/>
        <w:gridCol w:w="2547"/>
        <w:gridCol w:w="1463"/>
        <w:gridCol w:w="1463"/>
        <w:gridCol w:w="1610"/>
        <w:gridCol w:w="1409"/>
      </w:tblGrid>
      <w:tr w:rsidR="00D613A6" w:rsidRPr="00D613A6" w14:paraId="0900EC7E" w14:textId="77777777" w:rsidTr="000A5BFC">
        <w:trPr>
          <w:trHeight w:val="286"/>
          <w:tblHeader/>
        </w:trPr>
        <w:tc>
          <w:tcPr>
            <w:tcW w:w="906" w:type="dxa"/>
            <w:vMerge w:val="restart"/>
            <w:tcBorders>
              <w:top w:val="nil"/>
              <w:left w:val="nil"/>
              <w:right w:val="nil"/>
            </w:tcBorders>
            <w:shd w:val="clear" w:color="auto" w:fill="B9CDE5"/>
            <w:vAlign w:val="center"/>
          </w:tcPr>
          <w:p w14:paraId="7EA80F87" w14:textId="3A580B71"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Klasifi-kācijas kods</w:t>
            </w:r>
          </w:p>
        </w:tc>
        <w:tc>
          <w:tcPr>
            <w:tcW w:w="2630" w:type="dxa"/>
            <w:gridSpan w:val="2"/>
            <w:vMerge w:val="restart"/>
            <w:tcBorders>
              <w:top w:val="nil"/>
              <w:left w:val="nil"/>
              <w:right w:val="nil"/>
            </w:tcBorders>
            <w:shd w:val="clear" w:color="auto" w:fill="B9CDE5"/>
            <w:vAlign w:val="center"/>
          </w:tcPr>
          <w:p w14:paraId="1068A688"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Posteņa nosaukums</w:t>
            </w:r>
          </w:p>
        </w:tc>
        <w:tc>
          <w:tcPr>
            <w:tcW w:w="3006" w:type="dxa"/>
            <w:gridSpan w:val="2"/>
            <w:tcBorders>
              <w:top w:val="nil"/>
              <w:left w:val="nil"/>
              <w:bottom w:val="single" w:sz="4" w:space="0" w:color="17365D"/>
              <w:right w:val="nil"/>
            </w:tcBorders>
            <w:shd w:val="clear" w:color="auto" w:fill="B9CDE5"/>
            <w:vAlign w:val="center"/>
          </w:tcPr>
          <w:p w14:paraId="5E564499"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Budžeta izpilde</w:t>
            </w:r>
          </w:p>
        </w:tc>
        <w:tc>
          <w:tcPr>
            <w:tcW w:w="1655" w:type="dxa"/>
            <w:vMerge w:val="restart"/>
            <w:tcBorders>
              <w:top w:val="nil"/>
              <w:left w:val="nil"/>
              <w:right w:val="nil"/>
            </w:tcBorders>
            <w:shd w:val="clear" w:color="auto" w:fill="B9CDE5"/>
            <w:vAlign w:val="center"/>
          </w:tcPr>
          <w:p w14:paraId="2E9295F2" w14:textId="6554BF9C" w:rsidR="00F2038B" w:rsidRPr="00D613A6" w:rsidRDefault="00F2038B" w:rsidP="00B538AD">
            <w:pPr>
              <w:pStyle w:val="Pamatteksts1"/>
              <w:spacing w:before="60" w:after="60"/>
              <w:ind w:left="-107" w:right="-105" w:firstLine="0"/>
              <w:jc w:val="center"/>
              <w:rPr>
                <w:b/>
                <w:color w:val="17365D"/>
                <w:sz w:val="20"/>
                <w:szCs w:val="20"/>
              </w:rPr>
            </w:pPr>
            <w:r w:rsidRPr="00D613A6">
              <w:rPr>
                <w:b/>
                <w:color w:val="17365D"/>
                <w:sz w:val="20"/>
                <w:szCs w:val="20"/>
              </w:rPr>
              <w:t>Palielinājums (+), samazinājums (–) (1</w:t>
            </w:r>
            <w:r w:rsidR="00E65C60" w:rsidRPr="00D613A6">
              <w:rPr>
                <w:b/>
                <w:color w:val="17365D"/>
                <w:sz w:val="20"/>
                <w:szCs w:val="20"/>
              </w:rPr>
              <w:t>.</w:t>
            </w:r>
            <w:r w:rsidRPr="00D613A6">
              <w:rPr>
                <w:b/>
                <w:color w:val="17365D"/>
                <w:sz w:val="20"/>
                <w:szCs w:val="20"/>
              </w:rPr>
              <w:t>– 2</w:t>
            </w:r>
            <w:r w:rsidR="00E65C60" w:rsidRPr="00D613A6">
              <w:rPr>
                <w:b/>
                <w:color w:val="17365D"/>
                <w:sz w:val="20"/>
                <w:szCs w:val="20"/>
              </w:rPr>
              <w:t>.</w:t>
            </w:r>
            <w:r w:rsidRPr="00D613A6">
              <w:rPr>
                <w:b/>
                <w:color w:val="17365D"/>
                <w:sz w:val="20"/>
                <w:szCs w:val="20"/>
              </w:rPr>
              <w:t>)</w:t>
            </w:r>
          </w:p>
        </w:tc>
        <w:tc>
          <w:tcPr>
            <w:tcW w:w="1447" w:type="dxa"/>
            <w:vMerge w:val="restart"/>
            <w:tcBorders>
              <w:top w:val="nil"/>
              <w:left w:val="nil"/>
              <w:right w:val="nil"/>
            </w:tcBorders>
            <w:shd w:val="clear" w:color="auto" w:fill="B9CDE5"/>
            <w:vAlign w:val="center"/>
          </w:tcPr>
          <w:p w14:paraId="488F4220"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Procentuālās izmaiņas</w:t>
            </w:r>
          </w:p>
          <w:p w14:paraId="3AE89DF7" w14:textId="1C9D172D" w:rsidR="00F2038B" w:rsidRPr="00D613A6" w:rsidRDefault="00F2038B" w:rsidP="000911ED">
            <w:pPr>
              <w:pStyle w:val="Pamatteksts1"/>
              <w:spacing w:before="60" w:after="60"/>
              <w:ind w:firstLine="0"/>
              <w:jc w:val="center"/>
              <w:rPr>
                <w:b/>
                <w:color w:val="17365D"/>
                <w:sz w:val="20"/>
                <w:szCs w:val="20"/>
              </w:rPr>
            </w:pPr>
            <w:r w:rsidRPr="00D613A6">
              <w:rPr>
                <w:b/>
                <w:color w:val="17365D"/>
                <w:sz w:val="20"/>
                <w:szCs w:val="20"/>
              </w:rPr>
              <w:t>(</w:t>
            </w:r>
            <w:r w:rsidR="000911ED"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3BBC6052" w14:textId="77777777" w:rsidTr="000A5BFC">
        <w:trPr>
          <w:trHeight w:val="286"/>
          <w:tblHeader/>
        </w:trPr>
        <w:tc>
          <w:tcPr>
            <w:tcW w:w="906" w:type="dxa"/>
            <w:vMerge/>
            <w:tcBorders>
              <w:left w:val="nil"/>
              <w:bottom w:val="nil"/>
              <w:right w:val="nil"/>
            </w:tcBorders>
          </w:tcPr>
          <w:p w14:paraId="037D5680" w14:textId="77777777" w:rsidR="00F2038B" w:rsidRPr="00D613A6" w:rsidRDefault="00F2038B" w:rsidP="0064022F">
            <w:pPr>
              <w:pStyle w:val="Pamatteksts1"/>
              <w:spacing w:after="0"/>
              <w:ind w:firstLine="0"/>
              <w:rPr>
                <w:color w:val="17365D"/>
                <w:sz w:val="20"/>
                <w:szCs w:val="20"/>
              </w:rPr>
            </w:pPr>
          </w:p>
        </w:tc>
        <w:tc>
          <w:tcPr>
            <w:tcW w:w="2630" w:type="dxa"/>
            <w:gridSpan w:val="2"/>
            <w:vMerge/>
            <w:tcBorders>
              <w:left w:val="nil"/>
              <w:bottom w:val="nil"/>
              <w:right w:val="nil"/>
            </w:tcBorders>
          </w:tcPr>
          <w:p w14:paraId="7A6C0CDE" w14:textId="77777777" w:rsidR="00F2038B" w:rsidRPr="00D613A6" w:rsidRDefault="00F2038B" w:rsidP="0064022F">
            <w:pPr>
              <w:pStyle w:val="Pamatteksts1"/>
              <w:spacing w:after="0"/>
              <w:ind w:firstLine="0"/>
              <w:rPr>
                <w:color w:val="17365D"/>
                <w:sz w:val="20"/>
                <w:szCs w:val="20"/>
              </w:rPr>
            </w:pPr>
          </w:p>
        </w:tc>
        <w:tc>
          <w:tcPr>
            <w:tcW w:w="1503" w:type="dxa"/>
            <w:tcBorders>
              <w:top w:val="single" w:sz="4" w:space="0" w:color="17365D"/>
              <w:left w:val="nil"/>
              <w:bottom w:val="nil"/>
              <w:right w:val="nil"/>
            </w:tcBorders>
            <w:shd w:val="clear" w:color="auto" w:fill="B9CDE5"/>
            <w:vAlign w:val="center"/>
          </w:tcPr>
          <w:p w14:paraId="7D5227A5" w14:textId="77777777" w:rsidR="00F2038B" w:rsidRPr="00D613A6" w:rsidRDefault="00F2038B" w:rsidP="000F7E81">
            <w:pPr>
              <w:spacing w:before="60" w:after="60"/>
              <w:ind w:firstLine="0"/>
              <w:jc w:val="center"/>
              <w:rPr>
                <w:b/>
                <w:noProof/>
                <w:color w:val="17365D"/>
                <w:sz w:val="20"/>
                <w:szCs w:val="20"/>
              </w:rPr>
            </w:pPr>
            <w:r w:rsidRPr="00D613A6">
              <w:rPr>
                <w:b/>
                <w:noProof/>
                <w:color w:val="17365D"/>
                <w:sz w:val="20"/>
                <w:szCs w:val="20"/>
              </w:rPr>
              <w:t>pārskata periodā</w:t>
            </w:r>
          </w:p>
        </w:tc>
        <w:tc>
          <w:tcPr>
            <w:tcW w:w="1503" w:type="dxa"/>
            <w:tcBorders>
              <w:top w:val="single" w:sz="4" w:space="0" w:color="17365D"/>
              <w:left w:val="nil"/>
              <w:bottom w:val="nil"/>
              <w:right w:val="nil"/>
            </w:tcBorders>
            <w:shd w:val="clear" w:color="auto" w:fill="B9CDE5"/>
            <w:vAlign w:val="center"/>
          </w:tcPr>
          <w:p w14:paraId="53C7E298" w14:textId="77777777" w:rsidR="00F2038B" w:rsidRPr="00D613A6" w:rsidRDefault="00F2038B" w:rsidP="000F7E81">
            <w:pPr>
              <w:spacing w:before="60" w:after="60"/>
              <w:ind w:firstLine="0"/>
              <w:jc w:val="center"/>
              <w:rPr>
                <w:b/>
                <w:noProof/>
                <w:color w:val="17365D"/>
                <w:sz w:val="20"/>
                <w:szCs w:val="20"/>
              </w:rPr>
            </w:pPr>
            <w:r w:rsidRPr="00D613A6">
              <w:rPr>
                <w:b/>
                <w:color w:val="17365D"/>
                <w:sz w:val="20"/>
                <w:szCs w:val="20"/>
              </w:rPr>
              <w:t>iepriekšējā pārskata periodā</w:t>
            </w:r>
          </w:p>
        </w:tc>
        <w:tc>
          <w:tcPr>
            <w:tcW w:w="1655" w:type="dxa"/>
            <w:vMerge/>
            <w:tcBorders>
              <w:left w:val="nil"/>
              <w:bottom w:val="nil"/>
              <w:right w:val="nil"/>
            </w:tcBorders>
          </w:tcPr>
          <w:p w14:paraId="364CD296" w14:textId="77777777" w:rsidR="00F2038B" w:rsidRPr="00D613A6" w:rsidRDefault="00F2038B" w:rsidP="0064022F">
            <w:pPr>
              <w:spacing w:after="0"/>
              <w:ind w:firstLine="0"/>
              <w:rPr>
                <w:color w:val="17365D"/>
                <w:sz w:val="20"/>
                <w:szCs w:val="20"/>
              </w:rPr>
            </w:pPr>
          </w:p>
        </w:tc>
        <w:tc>
          <w:tcPr>
            <w:tcW w:w="1447" w:type="dxa"/>
            <w:vMerge/>
            <w:tcBorders>
              <w:left w:val="nil"/>
              <w:bottom w:val="nil"/>
              <w:right w:val="nil"/>
            </w:tcBorders>
          </w:tcPr>
          <w:p w14:paraId="3C379783" w14:textId="77777777" w:rsidR="00F2038B" w:rsidRPr="00D613A6" w:rsidRDefault="00F2038B" w:rsidP="0064022F">
            <w:pPr>
              <w:spacing w:after="0"/>
              <w:ind w:firstLine="0"/>
              <w:rPr>
                <w:color w:val="17365D"/>
                <w:sz w:val="20"/>
                <w:szCs w:val="20"/>
              </w:rPr>
            </w:pPr>
          </w:p>
        </w:tc>
      </w:tr>
      <w:tr w:rsidR="00D613A6" w:rsidRPr="00D613A6" w14:paraId="25D45170" w14:textId="77777777" w:rsidTr="000A5BFC">
        <w:trPr>
          <w:trHeight w:val="286"/>
          <w:tblHeader/>
        </w:trPr>
        <w:tc>
          <w:tcPr>
            <w:tcW w:w="906" w:type="dxa"/>
            <w:tcBorders>
              <w:top w:val="nil"/>
              <w:left w:val="nil"/>
              <w:bottom w:val="single" w:sz="4" w:space="0" w:color="17365D"/>
              <w:right w:val="nil"/>
            </w:tcBorders>
            <w:vAlign w:val="center"/>
          </w:tcPr>
          <w:p w14:paraId="44C7FA90" w14:textId="77777777"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A</w:t>
            </w:r>
          </w:p>
        </w:tc>
        <w:tc>
          <w:tcPr>
            <w:tcW w:w="2630" w:type="dxa"/>
            <w:gridSpan w:val="2"/>
            <w:tcBorders>
              <w:top w:val="nil"/>
              <w:left w:val="nil"/>
              <w:bottom w:val="single" w:sz="4" w:space="0" w:color="17365D"/>
              <w:right w:val="nil"/>
            </w:tcBorders>
            <w:vAlign w:val="center"/>
          </w:tcPr>
          <w:p w14:paraId="46E438CF" w14:textId="77777777"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B</w:t>
            </w:r>
          </w:p>
        </w:tc>
        <w:tc>
          <w:tcPr>
            <w:tcW w:w="1503" w:type="dxa"/>
            <w:tcBorders>
              <w:top w:val="nil"/>
              <w:left w:val="nil"/>
              <w:bottom w:val="single" w:sz="4" w:space="0" w:color="17365D"/>
              <w:right w:val="nil"/>
            </w:tcBorders>
            <w:vAlign w:val="center"/>
          </w:tcPr>
          <w:p w14:paraId="7BAF407D" w14:textId="625D2656"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1</w:t>
            </w:r>
          </w:p>
        </w:tc>
        <w:tc>
          <w:tcPr>
            <w:tcW w:w="1503" w:type="dxa"/>
            <w:tcBorders>
              <w:top w:val="nil"/>
              <w:left w:val="nil"/>
              <w:bottom w:val="single" w:sz="4" w:space="0" w:color="17365D"/>
              <w:right w:val="nil"/>
            </w:tcBorders>
            <w:vAlign w:val="center"/>
          </w:tcPr>
          <w:p w14:paraId="0D49ED88" w14:textId="32640D26"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2</w:t>
            </w:r>
          </w:p>
        </w:tc>
        <w:tc>
          <w:tcPr>
            <w:tcW w:w="1655" w:type="dxa"/>
            <w:tcBorders>
              <w:top w:val="nil"/>
              <w:left w:val="nil"/>
              <w:bottom w:val="single" w:sz="4" w:space="0" w:color="17365D"/>
              <w:right w:val="nil"/>
            </w:tcBorders>
            <w:vAlign w:val="center"/>
          </w:tcPr>
          <w:p w14:paraId="682A2018" w14:textId="6FDE3F23"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3</w:t>
            </w:r>
          </w:p>
        </w:tc>
        <w:tc>
          <w:tcPr>
            <w:tcW w:w="1447" w:type="dxa"/>
            <w:tcBorders>
              <w:top w:val="nil"/>
              <w:left w:val="nil"/>
              <w:bottom w:val="single" w:sz="4" w:space="0" w:color="17365D"/>
              <w:right w:val="nil"/>
            </w:tcBorders>
            <w:vAlign w:val="center"/>
          </w:tcPr>
          <w:p w14:paraId="331E2092" w14:textId="00E57C59"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4000A8A3" w14:textId="77777777" w:rsidTr="000A5BFC">
        <w:trPr>
          <w:trHeight w:val="286"/>
        </w:trPr>
        <w:tc>
          <w:tcPr>
            <w:tcW w:w="906" w:type="dxa"/>
            <w:tcBorders>
              <w:top w:val="single" w:sz="4" w:space="0" w:color="17365D"/>
              <w:left w:val="nil"/>
              <w:bottom w:val="single" w:sz="4" w:space="0" w:color="17365D"/>
              <w:right w:val="nil"/>
            </w:tcBorders>
            <w:vAlign w:val="center"/>
          </w:tcPr>
          <w:p w14:paraId="5D450BB4" w14:textId="59D2974B" w:rsidR="00E5567B" w:rsidRPr="00D613A6" w:rsidRDefault="00E5567B" w:rsidP="00E5567B">
            <w:pPr>
              <w:pStyle w:val="Pamatteksts1"/>
              <w:spacing w:before="40" w:after="40"/>
              <w:ind w:firstLine="0"/>
              <w:jc w:val="left"/>
              <w:rPr>
                <w:b/>
                <w:color w:val="17365D"/>
                <w:sz w:val="20"/>
                <w:szCs w:val="20"/>
              </w:rPr>
            </w:pPr>
            <w:r w:rsidRPr="00D613A6">
              <w:rPr>
                <w:b/>
                <w:color w:val="17365D"/>
                <w:sz w:val="20"/>
                <w:szCs w:val="20"/>
              </w:rPr>
              <w:t>I.</w:t>
            </w:r>
          </w:p>
        </w:tc>
        <w:tc>
          <w:tcPr>
            <w:tcW w:w="2630" w:type="dxa"/>
            <w:gridSpan w:val="2"/>
            <w:tcBorders>
              <w:top w:val="single" w:sz="4" w:space="0" w:color="17365D"/>
              <w:left w:val="nil"/>
              <w:bottom w:val="single" w:sz="4" w:space="0" w:color="17365D"/>
              <w:right w:val="nil"/>
            </w:tcBorders>
            <w:shd w:val="clear" w:color="000000" w:fill="FFFFFF"/>
            <w:vAlign w:val="center"/>
          </w:tcPr>
          <w:p w14:paraId="3CDEE650" w14:textId="218F362F" w:rsidR="00E5567B" w:rsidRPr="00D613A6" w:rsidRDefault="00E5567B" w:rsidP="00E5567B">
            <w:pPr>
              <w:pStyle w:val="Pamatteksts1"/>
              <w:spacing w:before="40" w:after="40"/>
              <w:ind w:firstLine="0"/>
              <w:rPr>
                <w:b/>
                <w:color w:val="17365D"/>
                <w:sz w:val="20"/>
                <w:szCs w:val="20"/>
              </w:rPr>
            </w:pPr>
            <w:r w:rsidRPr="00D613A6">
              <w:rPr>
                <w:b/>
                <w:bCs/>
                <w:color w:val="17365D"/>
                <w:sz w:val="20"/>
                <w:szCs w:val="20"/>
              </w:rPr>
              <w:t>IEŅĒMUMI KOPĀ</w:t>
            </w:r>
          </w:p>
        </w:tc>
        <w:tc>
          <w:tcPr>
            <w:tcW w:w="1503" w:type="dxa"/>
            <w:tcBorders>
              <w:top w:val="single" w:sz="4" w:space="0" w:color="17365D"/>
              <w:left w:val="nil"/>
              <w:bottom w:val="single" w:sz="4" w:space="0" w:color="17365D"/>
              <w:right w:val="nil"/>
            </w:tcBorders>
            <w:shd w:val="clear" w:color="000000" w:fill="FFFFFF"/>
            <w:vAlign w:val="center"/>
          </w:tcPr>
          <w:p w14:paraId="194A6519" w14:textId="6F8D68B3"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4 649 024 521</w:t>
            </w:r>
          </w:p>
        </w:tc>
        <w:tc>
          <w:tcPr>
            <w:tcW w:w="1503" w:type="dxa"/>
            <w:tcBorders>
              <w:top w:val="single" w:sz="4" w:space="0" w:color="17365D"/>
              <w:left w:val="nil"/>
              <w:bottom w:val="single" w:sz="4" w:space="0" w:color="17365D"/>
              <w:right w:val="nil"/>
            </w:tcBorders>
            <w:shd w:val="clear" w:color="auto" w:fill="auto"/>
            <w:vAlign w:val="center"/>
          </w:tcPr>
          <w:p w14:paraId="561524C1" w14:textId="4677BAE0"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4 239 679 040</w:t>
            </w:r>
          </w:p>
        </w:tc>
        <w:tc>
          <w:tcPr>
            <w:tcW w:w="1655" w:type="dxa"/>
            <w:tcBorders>
              <w:top w:val="single" w:sz="4" w:space="0" w:color="17365D"/>
              <w:left w:val="nil"/>
              <w:bottom w:val="single" w:sz="4" w:space="0" w:color="17365D"/>
              <w:right w:val="nil"/>
            </w:tcBorders>
            <w:shd w:val="clear" w:color="auto" w:fill="auto"/>
            <w:vAlign w:val="center"/>
          </w:tcPr>
          <w:p w14:paraId="042FF48E" w14:textId="24C72248"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409 345 481</w:t>
            </w:r>
          </w:p>
        </w:tc>
        <w:tc>
          <w:tcPr>
            <w:tcW w:w="1447" w:type="dxa"/>
            <w:tcBorders>
              <w:top w:val="single" w:sz="4" w:space="0" w:color="17365D"/>
              <w:left w:val="nil"/>
              <w:bottom w:val="single" w:sz="4" w:space="0" w:color="17365D"/>
              <w:right w:val="nil"/>
            </w:tcBorders>
            <w:shd w:val="clear" w:color="auto" w:fill="auto"/>
            <w:vAlign w:val="center"/>
          </w:tcPr>
          <w:p w14:paraId="3EC5A967" w14:textId="0329AD0D"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9.66</w:t>
            </w:r>
          </w:p>
        </w:tc>
      </w:tr>
      <w:tr w:rsidR="00D613A6" w:rsidRPr="00D613A6" w14:paraId="0197B04C" w14:textId="77777777" w:rsidTr="000A5BFC">
        <w:trPr>
          <w:trHeight w:val="286"/>
        </w:trPr>
        <w:tc>
          <w:tcPr>
            <w:tcW w:w="906" w:type="dxa"/>
            <w:tcBorders>
              <w:top w:val="single" w:sz="4" w:space="0" w:color="17365D"/>
              <w:left w:val="nil"/>
              <w:bottom w:val="single" w:sz="4" w:space="0" w:color="17365D"/>
              <w:right w:val="nil"/>
            </w:tcBorders>
            <w:vAlign w:val="center"/>
          </w:tcPr>
          <w:p w14:paraId="15A112E6" w14:textId="7AB75B0B" w:rsidR="00E5567B" w:rsidRPr="00D613A6" w:rsidRDefault="00E5567B" w:rsidP="00E5567B">
            <w:pPr>
              <w:spacing w:before="40" w:after="40"/>
              <w:ind w:firstLine="0"/>
              <w:jc w:val="left"/>
              <w:rPr>
                <w:bCs/>
                <w:color w:val="17365D"/>
                <w:sz w:val="20"/>
                <w:szCs w:val="20"/>
              </w:rPr>
            </w:pPr>
            <w:r w:rsidRPr="00D613A6">
              <w:rPr>
                <w:bCs/>
                <w:color w:val="17365D"/>
                <w:sz w:val="20"/>
                <w:szCs w:val="20"/>
              </w:rPr>
              <w:t>1.0.</w:t>
            </w:r>
          </w:p>
        </w:tc>
        <w:tc>
          <w:tcPr>
            <w:tcW w:w="2630" w:type="dxa"/>
            <w:gridSpan w:val="2"/>
            <w:tcBorders>
              <w:top w:val="single" w:sz="4" w:space="0" w:color="17365D"/>
              <w:left w:val="nil"/>
              <w:bottom w:val="single" w:sz="4" w:space="0" w:color="17365D"/>
              <w:right w:val="nil"/>
            </w:tcBorders>
            <w:shd w:val="clear" w:color="000000" w:fill="FFFFFF"/>
            <w:vAlign w:val="center"/>
          </w:tcPr>
          <w:p w14:paraId="5F5EB3D4" w14:textId="4101BA2B" w:rsidR="00E5567B" w:rsidRPr="00D613A6" w:rsidRDefault="00E5567B" w:rsidP="00E5567B">
            <w:pPr>
              <w:pStyle w:val="Pamatteksts1"/>
              <w:spacing w:before="40" w:after="40"/>
              <w:ind w:firstLine="0"/>
              <w:jc w:val="left"/>
              <w:rPr>
                <w:color w:val="17365D"/>
                <w:sz w:val="20"/>
                <w:szCs w:val="20"/>
              </w:rPr>
            </w:pPr>
            <w:r w:rsidRPr="00D613A6">
              <w:rPr>
                <w:bCs/>
                <w:color w:val="17365D"/>
                <w:sz w:val="20"/>
                <w:szCs w:val="20"/>
              </w:rPr>
              <w:t>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480184" w14:textId="77BF0EC4"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4 244 676 889</w:t>
            </w:r>
          </w:p>
        </w:tc>
        <w:tc>
          <w:tcPr>
            <w:tcW w:w="1503" w:type="dxa"/>
            <w:tcBorders>
              <w:top w:val="single" w:sz="4" w:space="0" w:color="17365D"/>
              <w:left w:val="nil"/>
              <w:bottom w:val="single" w:sz="4" w:space="0" w:color="17365D"/>
              <w:right w:val="nil"/>
            </w:tcBorders>
            <w:shd w:val="clear" w:color="auto" w:fill="auto"/>
            <w:vAlign w:val="center"/>
          </w:tcPr>
          <w:p w14:paraId="126EDC54" w14:textId="5D97139B"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3 883 632 908</w:t>
            </w:r>
          </w:p>
        </w:tc>
        <w:tc>
          <w:tcPr>
            <w:tcW w:w="1655" w:type="dxa"/>
            <w:tcBorders>
              <w:top w:val="single" w:sz="4" w:space="0" w:color="17365D"/>
              <w:left w:val="nil"/>
              <w:bottom w:val="single" w:sz="4" w:space="0" w:color="17365D"/>
              <w:right w:val="nil"/>
            </w:tcBorders>
            <w:shd w:val="clear" w:color="auto" w:fill="auto"/>
            <w:vAlign w:val="center"/>
          </w:tcPr>
          <w:p w14:paraId="42073EE8" w14:textId="1ABD118E"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361 043 981</w:t>
            </w:r>
          </w:p>
        </w:tc>
        <w:tc>
          <w:tcPr>
            <w:tcW w:w="1447" w:type="dxa"/>
            <w:tcBorders>
              <w:top w:val="single" w:sz="4" w:space="0" w:color="17365D"/>
              <w:left w:val="nil"/>
              <w:bottom w:val="single" w:sz="4" w:space="0" w:color="17365D"/>
              <w:right w:val="nil"/>
            </w:tcBorders>
            <w:shd w:val="clear" w:color="auto" w:fill="auto"/>
            <w:vAlign w:val="center"/>
          </w:tcPr>
          <w:p w14:paraId="2B05338F" w14:textId="7762B160"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9.30</w:t>
            </w:r>
          </w:p>
        </w:tc>
      </w:tr>
      <w:tr w:rsidR="00D613A6" w:rsidRPr="00D613A6" w14:paraId="45F50EE8" w14:textId="77777777" w:rsidTr="000A5BFC">
        <w:trPr>
          <w:trHeight w:val="286"/>
        </w:trPr>
        <w:tc>
          <w:tcPr>
            <w:tcW w:w="906" w:type="dxa"/>
            <w:tcBorders>
              <w:top w:val="single" w:sz="4" w:space="0" w:color="17365D"/>
              <w:left w:val="nil"/>
              <w:bottom w:val="single" w:sz="4" w:space="0" w:color="17365D"/>
              <w:right w:val="nil"/>
            </w:tcBorders>
            <w:vAlign w:val="center"/>
          </w:tcPr>
          <w:p w14:paraId="5BBDC556" w14:textId="795FB658" w:rsidR="00E5567B" w:rsidRPr="00D613A6" w:rsidRDefault="00E5567B" w:rsidP="00E5567B">
            <w:pPr>
              <w:spacing w:before="40" w:after="40"/>
              <w:ind w:firstLine="0"/>
              <w:jc w:val="left"/>
              <w:rPr>
                <w:bCs/>
                <w:color w:val="17365D"/>
                <w:sz w:val="20"/>
                <w:szCs w:val="20"/>
              </w:rPr>
            </w:pPr>
            <w:r w:rsidRPr="00D613A6">
              <w:rPr>
                <w:bCs/>
                <w:color w:val="17365D"/>
                <w:sz w:val="20"/>
                <w:szCs w:val="20"/>
              </w:rPr>
              <w:t>2.0.</w:t>
            </w:r>
          </w:p>
        </w:tc>
        <w:tc>
          <w:tcPr>
            <w:tcW w:w="2630" w:type="dxa"/>
            <w:gridSpan w:val="2"/>
            <w:tcBorders>
              <w:top w:val="single" w:sz="4" w:space="0" w:color="17365D"/>
              <w:left w:val="nil"/>
              <w:bottom w:val="single" w:sz="4" w:space="0" w:color="17365D"/>
              <w:right w:val="nil"/>
            </w:tcBorders>
            <w:shd w:val="clear" w:color="000000" w:fill="FFFFFF"/>
            <w:vAlign w:val="center"/>
          </w:tcPr>
          <w:p w14:paraId="1A4864B6" w14:textId="54FD1B34" w:rsidR="00E5567B" w:rsidRPr="00D613A6" w:rsidRDefault="00E5567B" w:rsidP="00E5567B">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ECC740" w14:textId="7FF5A8C7"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117 651 349</w:t>
            </w:r>
          </w:p>
        </w:tc>
        <w:tc>
          <w:tcPr>
            <w:tcW w:w="1503" w:type="dxa"/>
            <w:tcBorders>
              <w:top w:val="single" w:sz="4" w:space="0" w:color="17365D"/>
              <w:left w:val="nil"/>
              <w:bottom w:val="single" w:sz="4" w:space="0" w:color="17365D"/>
              <w:right w:val="nil"/>
            </w:tcBorders>
            <w:shd w:val="clear" w:color="auto" w:fill="auto"/>
            <w:vAlign w:val="center"/>
          </w:tcPr>
          <w:p w14:paraId="43A49247" w14:textId="08653D7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83 668 933</w:t>
            </w:r>
          </w:p>
        </w:tc>
        <w:tc>
          <w:tcPr>
            <w:tcW w:w="1655" w:type="dxa"/>
            <w:tcBorders>
              <w:top w:val="single" w:sz="4" w:space="0" w:color="17365D"/>
              <w:left w:val="nil"/>
              <w:bottom w:val="single" w:sz="4" w:space="0" w:color="17365D"/>
              <w:right w:val="nil"/>
            </w:tcBorders>
            <w:shd w:val="clear" w:color="auto" w:fill="auto"/>
            <w:vAlign w:val="center"/>
          </w:tcPr>
          <w:p w14:paraId="1B8C9832" w14:textId="6B3BAB5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33 982 416</w:t>
            </w:r>
          </w:p>
        </w:tc>
        <w:tc>
          <w:tcPr>
            <w:tcW w:w="1447" w:type="dxa"/>
            <w:tcBorders>
              <w:top w:val="single" w:sz="4" w:space="0" w:color="17365D"/>
              <w:left w:val="nil"/>
              <w:bottom w:val="single" w:sz="4" w:space="0" w:color="17365D"/>
              <w:right w:val="nil"/>
            </w:tcBorders>
            <w:shd w:val="clear" w:color="auto" w:fill="auto"/>
            <w:vAlign w:val="center"/>
          </w:tcPr>
          <w:p w14:paraId="7BB766F0" w14:textId="6ADDA899"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40.62</w:t>
            </w:r>
          </w:p>
        </w:tc>
      </w:tr>
      <w:tr w:rsidR="00D613A6" w:rsidRPr="00D613A6" w14:paraId="1414DB4B" w14:textId="77777777" w:rsidTr="000A5BFC">
        <w:trPr>
          <w:trHeight w:val="286"/>
        </w:trPr>
        <w:tc>
          <w:tcPr>
            <w:tcW w:w="906" w:type="dxa"/>
            <w:tcBorders>
              <w:top w:val="single" w:sz="4" w:space="0" w:color="17365D"/>
              <w:left w:val="nil"/>
              <w:bottom w:val="single" w:sz="4" w:space="0" w:color="17365D"/>
              <w:right w:val="nil"/>
            </w:tcBorders>
            <w:vAlign w:val="center"/>
          </w:tcPr>
          <w:p w14:paraId="3C618FC8" w14:textId="56C4BF56" w:rsidR="00E5567B" w:rsidRPr="00D613A6" w:rsidRDefault="00E5567B" w:rsidP="00E5567B">
            <w:pPr>
              <w:spacing w:before="40" w:after="40"/>
              <w:ind w:firstLine="0"/>
              <w:jc w:val="left"/>
              <w:rPr>
                <w:bCs/>
                <w:color w:val="17365D"/>
                <w:sz w:val="20"/>
                <w:szCs w:val="20"/>
              </w:rPr>
            </w:pPr>
            <w:r w:rsidRPr="00D613A6">
              <w:rPr>
                <w:bCs/>
                <w:color w:val="17365D"/>
                <w:sz w:val="20"/>
                <w:szCs w:val="20"/>
              </w:rPr>
              <w:t>3.0.</w:t>
            </w:r>
          </w:p>
        </w:tc>
        <w:tc>
          <w:tcPr>
            <w:tcW w:w="2630" w:type="dxa"/>
            <w:gridSpan w:val="2"/>
            <w:tcBorders>
              <w:top w:val="single" w:sz="4" w:space="0" w:color="17365D"/>
              <w:left w:val="nil"/>
              <w:bottom w:val="single" w:sz="4" w:space="0" w:color="17365D"/>
              <w:right w:val="nil"/>
            </w:tcBorders>
            <w:shd w:val="clear" w:color="000000" w:fill="FFFFFF"/>
            <w:vAlign w:val="center"/>
          </w:tcPr>
          <w:p w14:paraId="05D5BB3C" w14:textId="3EFA1AFC" w:rsidR="00E5567B" w:rsidRPr="00D613A6" w:rsidRDefault="00E5567B" w:rsidP="00E5567B">
            <w:pPr>
              <w:pStyle w:val="Pamatteksts1"/>
              <w:spacing w:before="40" w:after="40"/>
              <w:ind w:firstLine="0"/>
              <w:jc w:val="left"/>
              <w:rPr>
                <w:bCs/>
                <w:color w:val="17365D"/>
                <w:sz w:val="20"/>
                <w:szCs w:val="20"/>
              </w:rPr>
            </w:pPr>
            <w:r w:rsidRPr="00D613A6">
              <w:rPr>
                <w:bCs/>
                <w:color w:val="17365D"/>
                <w:sz w:val="20"/>
                <w:szCs w:val="20"/>
              </w:rPr>
              <w:t>Maksas pakalpojumi un citi pašu ieņēmumi</w:t>
            </w:r>
          </w:p>
        </w:tc>
        <w:tc>
          <w:tcPr>
            <w:tcW w:w="1503" w:type="dxa"/>
            <w:tcBorders>
              <w:top w:val="single" w:sz="4" w:space="0" w:color="17365D"/>
              <w:left w:val="nil"/>
              <w:bottom w:val="single" w:sz="4" w:space="0" w:color="17365D"/>
              <w:right w:val="nil"/>
            </w:tcBorders>
            <w:shd w:val="clear" w:color="000000" w:fill="FFFFFF"/>
            <w:vAlign w:val="center"/>
          </w:tcPr>
          <w:p w14:paraId="6D7B634D" w14:textId="3C9BA1AF"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63 375</w:t>
            </w:r>
          </w:p>
        </w:tc>
        <w:tc>
          <w:tcPr>
            <w:tcW w:w="1503" w:type="dxa"/>
            <w:tcBorders>
              <w:top w:val="single" w:sz="4" w:space="0" w:color="17365D"/>
              <w:left w:val="nil"/>
              <w:bottom w:val="single" w:sz="4" w:space="0" w:color="17365D"/>
              <w:right w:val="nil"/>
            </w:tcBorders>
            <w:shd w:val="clear" w:color="auto" w:fill="auto"/>
            <w:vAlign w:val="center"/>
          </w:tcPr>
          <w:p w14:paraId="319D62D5" w14:textId="4A25467A"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71 078</w:t>
            </w:r>
          </w:p>
        </w:tc>
        <w:tc>
          <w:tcPr>
            <w:tcW w:w="1655" w:type="dxa"/>
            <w:tcBorders>
              <w:top w:val="single" w:sz="4" w:space="0" w:color="17365D"/>
              <w:left w:val="nil"/>
              <w:bottom w:val="single" w:sz="4" w:space="0" w:color="17365D"/>
              <w:right w:val="nil"/>
            </w:tcBorders>
            <w:shd w:val="clear" w:color="auto" w:fill="auto"/>
            <w:vAlign w:val="center"/>
          </w:tcPr>
          <w:p w14:paraId="7DE5418B" w14:textId="08BC7E9B"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-7 703</w:t>
            </w:r>
          </w:p>
        </w:tc>
        <w:tc>
          <w:tcPr>
            <w:tcW w:w="1447" w:type="dxa"/>
            <w:tcBorders>
              <w:top w:val="single" w:sz="4" w:space="0" w:color="17365D"/>
              <w:left w:val="nil"/>
              <w:bottom w:val="single" w:sz="4" w:space="0" w:color="17365D"/>
              <w:right w:val="nil"/>
            </w:tcBorders>
            <w:shd w:val="clear" w:color="auto" w:fill="auto"/>
            <w:vAlign w:val="center"/>
          </w:tcPr>
          <w:p w14:paraId="5F106C3A" w14:textId="3A42301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-10.84</w:t>
            </w:r>
          </w:p>
        </w:tc>
      </w:tr>
      <w:tr w:rsidR="00D613A6" w:rsidRPr="00D613A6" w14:paraId="56B35F7D" w14:textId="77777777" w:rsidTr="000A5BFC">
        <w:trPr>
          <w:trHeight w:val="286"/>
        </w:trPr>
        <w:tc>
          <w:tcPr>
            <w:tcW w:w="906" w:type="dxa"/>
            <w:tcBorders>
              <w:top w:val="single" w:sz="4" w:space="0" w:color="17365D"/>
              <w:left w:val="nil"/>
              <w:bottom w:val="nil"/>
              <w:right w:val="nil"/>
            </w:tcBorders>
            <w:vAlign w:val="center"/>
          </w:tcPr>
          <w:p w14:paraId="335301B1" w14:textId="6C239CE3" w:rsidR="00E5567B" w:rsidRPr="00D613A6" w:rsidRDefault="00E5567B" w:rsidP="00E5567B">
            <w:pPr>
              <w:pStyle w:val="Pamatteksts1"/>
              <w:spacing w:before="40" w:after="40"/>
              <w:ind w:firstLine="0"/>
              <w:jc w:val="left"/>
              <w:rPr>
                <w:color w:val="17365D"/>
                <w:sz w:val="20"/>
                <w:szCs w:val="20"/>
              </w:rPr>
            </w:pPr>
            <w:r w:rsidRPr="00D613A6">
              <w:rPr>
                <w:color w:val="17365D"/>
                <w:sz w:val="20"/>
                <w:szCs w:val="20"/>
              </w:rPr>
              <w:t>5.0.</w:t>
            </w:r>
          </w:p>
        </w:tc>
        <w:tc>
          <w:tcPr>
            <w:tcW w:w="2630" w:type="dxa"/>
            <w:gridSpan w:val="2"/>
            <w:tcBorders>
              <w:top w:val="single" w:sz="4" w:space="0" w:color="17365D"/>
              <w:left w:val="nil"/>
              <w:bottom w:val="nil"/>
              <w:right w:val="nil"/>
            </w:tcBorders>
            <w:shd w:val="clear" w:color="000000" w:fill="FFFFFF"/>
            <w:vAlign w:val="center"/>
          </w:tcPr>
          <w:p w14:paraId="1274B1FB" w14:textId="7D405BED" w:rsidR="00E5567B" w:rsidRPr="00D613A6" w:rsidRDefault="00E5567B" w:rsidP="00E5567B">
            <w:pPr>
              <w:pStyle w:val="Pamatteksts1"/>
              <w:spacing w:before="40" w:after="40"/>
              <w:ind w:firstLine="0"/>
              <w:jc w:val="left"/>
              <w:rPr>
                <w:color w:val="17365D"/>
                <w:sz w:val="20"/>
                <w:szCs w:val="20"/>
              </w:rPr>
            </w:pPr>
            <w:r w:rsidRPr="00D613A6">
              <w:rPr>
                <w:bCs/>
                <w:color w:val="17365D"/>
                <w:sz w:val="20"/>
                <w:szCs w:val="20"/>
              </w:rPr>
              <w:t>Transferti</w:t>
            </w:r>
          </w:p>
        </w:tc>
        <w:tc>
          <w:tcPr>
            <w:tcW w:w="1503" w:type="dxa"/>
            <w:tcBorders>
              <w:top w:val="single" w:sz="4" w:space="0" w:color="17365D"/>
              <w:left w:val="nil"/>
              <w:bottom w:val="nil"/>
              <w:right w:val="nil"/>
            </w:tcBorders>
            <w:shd w:val="clear" w:color="000000" w:fill="FFFFFF"/>
            <w:vAlign w:val="center"/>
          </w:tcPr>
          <w:p w14:paraId="2EB2DD4F" w14:textId="03EC348C"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286 632 908</w:t>
            </w:r>
          </w:p>
        </w:tc>
        <w:tc>
          <w:tcPr>
            <w:tcW w:w="1503" w:type="dxa"/>
            <w:tcBorders>
              <w:top w:val="single" w:sz="4" w:space="0" w:color="17365D"/>
              <w:left w:val="nil"/>
              <w:bottom w:val="nil"/>
              <w:right w:val="nil"/>
            </w:tcBorders>
            <w:shd w:val="clear" w:color="auto" w:fill="auto"/>
            <w:vAlign w:val="center"/>
          </w:tcPr>
          <w:p w14:paraId="1EE0F23C" w14:textId="0A5A86D4"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272 306 121</w:t>
            </w:r>
          </w:p>
        </w:tc>
        <w:tc>
          <w:tcPr>
            <w:tcW w:w="1655" w:type="dxa"/>
            <w:tcBorders>
              <w:top w:val="single" w:sz="4" w:space="0" w:color="17365D"/>
              <w:left w:val="nil"/>
              <w:bottom w:val="nil"/>
              <w:right w:val="nil"/>
            </w:tcBorders>
            <w:shd w:val="clear" w:color="auto" w:fill="auto"/>
            <w:vAlign w:val="center"/>
          </w:tcPr>
          <w:p w14:paraId="36B9B16A" w14:textId="32DDFF23"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14 326 787</w:t>
            </w:r>
          </w:p>
        </w:tc>
        <w:tc>
          <w:tcPr>
            <w:tcW w:w="1447" w:type="dxa"/>
            <w:tcBorders>
              <w:top w:val="single" w:sz="4" w:space="0" w:color="17365D"/>
              <w:left w:val="nil"/>
              <w:bottom w:val="nil"/>
              <w:right w:val="nil"/>
            </w:tcBorders>
            <w:shd w:val="clear" w:color="auto" w:fill="auto"/>
            <w:vAlign w:val="center"/>
          </w:tcPr>
          <w:p w14:paraId="0CD807E4" w14:textId="49E6C93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5.26</w:t>
            </w:r>
          </w:p>
        </w:tc>
      </w:tr>
      <w:tr w:rsidR="00D613A6" w:rsidRPr="00D613A6" w14:paraId="0FAEC777" w14:textId="77777777" w:rsidTr="000A5BFC">
        <w:trPr>
          <w:trHeight w:val="286"/>
        </w:trPr>
        <w:tc>
          <w:tcPr>
            <w:tcW w:w="914" w:type="dxa"/>
            <w:gridSpan w:val="2"/>
            <w:tcBorders>
              <w:top w:val="nil"/>
              <w:left w:val="nil"/>
              <w:bottom w:val="nil"/>
              <w:right w:val="nil"/>
            </w:tcBorders>
            <w:shd w:val="clear" w:color="auto" w:fill="B9CDE5"/>
            <w:vAlign w:val="center"/>
          </w:tcPr>
          <w:p w14:paraId="0DCEF99D" w14:textId="77777777" w:rsidR="00D766AE" w:rsidRPr="00D613A6" w:rsidRDefault="00D766AE" w:rsidP="00661881">
            <w:pPr>
              <w:pStyle w:val="Pamatteksts1"/>
              <w:spacing w:before="40" w:after="40"/>
              <w:ind w:firstLine="0"/>
              <w:jc w:val="left"/>
              <w:rPr>
                <w:color w:val="17365D"/>
                <w:sz w:val="20"/>
                <w:szCs w:val="20"/>
              </w:rPr>
            </w:pPr>
          </w:p>
        </w:tc>
        <w:tc>
          <w:tcPr>
            <w:tcW w:w="2622" w:type="dxa"/>
            <w:tcBorders>
              <w:top w:val="nil"/>
              <w:left w:val="nil"/>
              <w:bottom w:val="nil"/>
              <w:right w:val="nil"/>
            </w:tcBorders>
            <w:shd w:val="clear" w:color="auto" w:fill="B9CDE5"/>
            <w:vAlign w:val="center"/>
          </w:tcPr>
          <w:p w14:paraId="584AC431" w14:textId="77777777" w:rsidR="00D766AE" w:rsidRPr="00D613A6" w:rsidRDefault="00D766AE" w:rsidP="00661881">
            <w:pPr>
              <w:pStyle w:val="Pamatteksts1"/>
              <w:spacing w:before="40" w:after="40"/>
              <w:ind w:firstLine="0"/>
              <w:rPr>
                <w:bCs/>
                <w:color w:val="17365D"/>
                <w:sz w:val="20"/>
                <w:szCs w:val="20"/>
              </w:rPr>
            </w:pPr>
          </w:p>
        </w:tc>
        <w:tc>
          <w:tcPr>
            <w:tcW w:w="1503" w:type="dxa"/>
            <w:tcBorders>
              <w:top w:val="nil"/>
              <w:left w:val="nil"/>
              <w:bottom w:val="nil"/>
              <w:right w:val="nil"/>
            </w:tcBorders>
            <w:shd w:val="clear" w:color="auto" w:fill="B9CDE5"/>
            <w:vAlign w:val="center"/>
          </w:tcPr>
          <w:p w14:paraId="47556291" w14:textId="77777777" w:rsidR="00D766AE" w:rsidRPr="00D613A6" w:rsidRDefault="00D766AE" w:rsidP="00661881">
            <w:pPr>
              <w:pStyle w:val="Pamatteksts1"/>
              <w:spacing w:before="40" w:after="40"/>
              <w:ind w:firstLine="0"/>
              <w:jc w:val="right"/>
              <w:rPr>
                <w:bCs/>
                <w:color w:val="17365D"/>
                <w:sz w:val="20"/>
                <w:szCs w:val="20"/>
              </w:rPr>
            </w:pPr>
          </w:p>
        </w:tc>
        <w:tc>
          <w:tcPr>
            <w:tcW w:w="1503" w:type="dxa"/>
            <w:tcBorders>
              <w:top w:val="nil"/>
              <w:left w:val="nil"/>
              <w:bottom w:val="nil"/>
              <w:right w:val="nil"/>
            </w:tcBorders>
            <w:shd w:val="clear" w:color="auto" w:fill="B9CDE5"/>
            <w:vAlign w:val="center"/>
          </w:tcPr>
          <w:p w14:paraId="31B33B8E" w14:textId="77777777" w:rsidR="00D766AE" w:rsidRPr="00D613A6" w:rsidRDefault="00D766AE" w:rsidP="00661881">
            <w:pPr>
              <w:pStyle w:val="Pamatteksts1"/>
              <w:spacing w:before="40" w:after="40"/>
              <w:ind w:firstLine="0"/>
              <w:jc w:val="right"/>
              <w:rPr>
                <w:bCs/>
                <w:color w:val="17365D"/>
                <w:sz w:val="20"/>
                <w:szCs w:val="20"/>
              </w:rPr>
            </w:pPr>
          </w:p>
        </w:tc>
        <w:tc>
          <w:tcPr>
            <w:tcW w:w="1655" w:type="dxa"/>
            <w:tcBorders>
              <w:top w:val="nil"/>
              <w:left w:val="nil"/>
              <w:bottom w:val="nil"/>
              <w:right w:val="nil"/>
            </w:tcBorders>
            <w:shd w:val="clear" w:color="auto" w:fill="B9CDE5"/>
            <w:vAlign w:val="center"/>
          </w:tcPr>
          <w:p w14:paraId="4400791F" w14:textId="77777777" w:rsidR="00D766AE" w:rsidRPr="00D613A6" w:rsidRDefault="00D766AE" w:rsidP="00661881">
            <w:pPr>
              <w:pStyle w:val="Pamatteksts1"/>
              <w:spacing w:before="60" w:after="60"/>
              <w:ind w:left="-107" w:right="-105" w:firstLine="0"/>
              <w:jc w:val="right"/>
              <w:rPr>
                <w:bCs/>
                <w:color w:val="17365D"/>
                <w:sz w:val="20"/>
                <w:szCs w:val="20"/>
              </w:rPr>
            </w:pPr>
          </w:p>
        </w:tc>
        <w:tc>
          <w:tcPr>
            <w:tcW w:w="1447" w:type="dxa"/>
            <w:tcBorders>
              <w:top w:val="nil"/>
              <w:left w:val="nil"/>
              <w:bottom w:val="nil"/>
              <w:right w:val="nil"/>
            </w:tcBorders>
            <w:shd w:val="clear" w:color="auto" w:fill="B9CDE5"/>
            <w:vAlign w:val="center"/>
          </w:tcPr>
          <w:p w14:paraId="61337F7D" w14:textId="77777777" w:rsidR="00D766AE" w:rsidRPr="00D613A6" w:rsidRDefault="00D766AE" w:rsidP="00661881">
            <w:pPr>
              <w:pStyle w:val="Pamatteksts1"/>
              <w:spacing w:before="40" w:after="40"/>
              <w:ind w:firstLine="0"/>
              <w:jc w:val="right"/>
              <w:rPr>
                <w:bCs/>
                <w:color w:val="17365D"/>
                <w:sz w:val="20"/>
                <w:szCs w:val="20"/>
              </w:rPr>
            </w:pPr>
          </w:p>
        </w:tc>
      </w:tr>
    </w:tbl>
    <w:p w14:paraId="038BB1BF" w14:textId="662F5826" w:rsidR="0099642C" w:rsidRPr="00D613A6" w:rsidRDefault="0099642C" w:rsidP="00413AE2">
      <w:pPr>
        <w:pStyle w:val="Pamatteksts1"/>
        <w:ind w:firstLine="0"/>
        <w:rPr>
          <w:noProof w:val="0"/>
          <w:color w:val="17365D"/>
        </w:rPr>
      </w:pPr>
    </w:p>
    <w:p w14:paraId="65D4D625" w14:textId="44A33023" w:rsidR="00F5680C" w:rsidRPr="00D613A6" w:rsidRDefault="00706126" w:rsidP="00F5680C">
      <w:pPr>
        <w:pStyle w:val="Pamatteksts1"/>
        <w:rPr>
          <w:noProof w:val="0"/>
          <w:color w:val="17365D"/>
        </w:rPr>
      </w:pPr>
      <w:bookmarkStart w:id="1" w:name="_Toc72747283"/>
      <w:r w:rsidRPr="00D613A6">
        <w:rPr>
          <w:noProof w:val="0"/>
          <w:color w:val="17365D"/>
        </w:rPr>
        <w:t>Speciālā budžeta ieņēmum</w:t>
      </w:r>
      <w:r w:rsidR="00F66195" w:rsidRPr="00D613A6">
        <w:rPr>
          <w:noProof w:val="0"/>
          <w:color w:val="17365D"/>
        </w:rPr>
        <w:t>os</w:t>
      </w:r>
      <w:r w:rsidRPr="00D613A6">
        <w:rPr>
          <w:noProof w:val="0"/>
          <w:color w:val="17365D"/>
        </w:rPr>
        <w:t xml:space="preserve"> nav būtiskas izmaiņas</w:t>
      </w:r>
      <w:r w:rsidR="00F66195" w:rsidRPr="00D613A6">
        <w:rPr>
          <w:noProof w:val="0"/>
          <w:color w:val="17365D"/>
        </w:rPr>
        <w:t xml:space="preserve"> salīdz</w:t>
      </w:r>
      <w:r w:rsidR="00A001CD" w:rsidRPr="00D613A6">
        <w:rPr>
          <w:noProof w:val="0"/>
          <w:color w:val="17365D"/>
        </w:rPr>
        <w:t>i</w:t>
      </w:r>
      <w:r w:rsidR="00F66195" w:rsidRPr="00D613A6">
        <w:rPr>
          <w:noProof w:val="0"/>
          <w:color w:val="17365D"/>
        </w:rPr>
        <w:t>nājumā ar iepriekšējo gadu</w:t>
      </w:r>
      <w:r w:rsidRPr="00D613A6">
        <w:rPr>
          <w:noProof w:val="0"/>
          <w:color w:val="17365D"/>
        </w:rPr>
        <w:t>, l</w:t>
      </w:r>
      <w:r w:rsidR="007942B0" w:rsidRPr="00D613A6">
        <w:rPr>
          <w:noProof w:val="0"/>
          <w:color w:val="17365D"/>
        </w:rPr>
        <w:t>ielākie ieņēmumi</w:t>
      </w:r>
      <w:r w:rsidR="007942B0" w:rsidRPr="00D613A6">
        <w:rPr>
          <w:noProof w:val="0"/>
          <w:color w:val="17365D"/>
          <w:u w:val="single"/>
        </w:rPr>
        <w:t xml:space="preserve"> </w:t>
      </w:r>
      <w:r w:rsidR="007942B0" w:rsidRPr="00D613A6">
        <w:rPr>
          <w:noProof w:val="0"/>
          <w:color w:val="17365D"/>
        </w:rPr>
        <w:t>pārskata gadā saņemti no valsts sociālās apdrošināšanas obligāto iemaksu sadales</w:t>
      </w:r>
      <w:r w:rsidRPr="00D613A6">
        <w:rPr>
          <w:noProof w:val="0"/>
          <w:color w:val="17365D"/>
        </w:rPr>
        <w:t xml:space="preserve"> </w:t>
      </w:r>
      <w:r w:rsidR="0037587E" w:rsidRPr="00D613A6">
        <w:rPr>
          <w:noProof w:val="0"/>
          <w:color w:val="17365D"/>
        </w:rPr>
        <w:t>5</w:t>
      </w:r>
      <w:r w:rsidR="007942B0" w:rsidRPr="00D613A6">
        <w:rPr>
          <w:noProof w:val="0"/>
          <w:color w:val="17365D"/>
        </w:rPr>
        <w:t> </w:t>
      </w:r>
      <w:r w:rsidR="0037587E" w:rsidRPr="00D613A6">
        <w:rPr>
          <w:noProof w:val="0"/>
          <w:color w:val="17365D"/>
        </w:rPr>
        <w:t>119,</w:t>
      </w:r>
      <w:r w:rsidR="0042624D" w:rsidRPr="00D613A6">
        <w:rPr>
          <w:noProof w:val="0"/>
          <w:color w:val="17365D"/>
        </w:rPr>
        <w:t>8 </w:t>
      </w:r>
      <w:r w:rsidR="007942B0" w:rsidRPr="00D613A6">
        <w:rPr>
          <w:noProof w:val="0"/>
          <w:color w:val="17365D"/>
        </w:rPr>
        <w:t xml:space="preserve">milj. </w:t>
      </w:r>
      <w:r w:rsidR="007942B0" w:rsidRPr="00D613A6">
        <w:rPr>
          <w:i/>
          <w:noProof w:val="0"/>
          <w:color w:val="17365D"/>
        </w:rPr>
        <w:t xml:space="preserve">euro </w:t>
      </w:r>
      <w:r w:rsidR="007942B0" w:rsidRPr="00D613A6">
        <w:rPr>
          <w:noProof w:val="0"/>
          <w:color w:val="17365D"/>
        </w:rPr>
        <w:t>vērtībā</w:t>
      </w:r>
      <w:r w:rsidRPr="00D613A6">
        <w:rPr>
          <w:noProof w:val="0"/>
          <w:color w:val="17365D"/>
        </w:rPr>
        <w:t>, kas detalizētāk sadalās: iemaksas valsts pensiju apdrošināšanai ir 3</w:t>
      </w:r>
      <w:r w:rsidR="00FB0D06" w:rsidRPr="00D613A6">
        <w:rPr>
          <w:noProof w:val="0"/>
          <w:color w:val="17365D"/>
        </w:rPr>
        <w:t> </w:t>
      </w:r>
      <w:r w:rsidR="0037587E" w:rsidRPr="00D613A6">
        <w:rPr>
          <w:noProof w:val="0"/>
          <w:color w:val="17365D"/>
        </w:rPr>
        <w:t>688</w:t>
      </w:r>
      <w:r w:rsidRPr="00D613A6">
        <w:rPr>
          <w:noProof w:val="0"/>
          <w:color w:val="17365D"/>
        </w:rPr>
        <w:t>,</w:t>
      </w:r>
      <w:r w:rsidR="0042624D" w:rsidRPr="00D613A6">
        <w:rPr>
          <w:noProof w:val="0"/>
          <w:color w:val="17365D"/>
        </w:rPr>
        <w:t xml:space="preserve">4 </w:t>
      </w:r>
      <w:r w:rsidRPr="00D613A6">
        <w:rPr>
          <w:noProof w:val="0"/>
          <w:color w:val="17365D"/>
        </w:rPr>
        <w:t xml:space="preserve">milj. </w:t>
      </w:r>
      <w:r w:rsidRPr="00D613A6">
        <w:rPr>
          <w:i/>
          <w:noProof w:val="0"/>
          <w:color w:val="17365D"/>
        </w:rPr>
        <w:t>euro</w:t>
      </w:r>
      <w:r w:rsidRPr="00D613A6">
        <w:rPr>
          <w:noProof w:val="0"/>
          <w:color w:val="17365D"/>
        </w:rPr>
        <w:t xml:space="preserve"> vērtībā, iemaksas sociālajai apdrošināšanai bezdarba gadījumiem 2</w:t>
      </w:r>
      <w:r w:rsidR="0037587E" w:rsidRPr="00D613A6">
        <w:rPr>
          <w:noProof w:val="0"/>
          <w:color w:val="17365D"/>
        </w:rPr>
        <w:t>22</w:t>
      </w:r>
      <w:r w:rsidRPr="00D613A6">
        <w:rPr>
          <w:noProof w:val="0"/>
          <w:color w:val="17365D"/>
        </w:rPr>
        <w:t>,</w:t>
      </w:r>
      <w:r w:rsidR="0037587E" w:rsidRPr="00D613A6">
        <w:rPr>
          <w:noProof w:val="0"/>
          <w:color w:val="17365D"/>
        </w:rPr>
        <w:t>7</w:t>
      </w:r>
      <w:r w:rsidR="008A49E3" w:rsidRPr="00D613A6">
        <w:rPr>
          <w:noProof w:val="0"/>
          <w:color w:val="17365D"/>
        </w:rPr>
        <w:t> </w:t>
      </w:r>
      <w:r w:rsidRPr="00D613A6">
        <w:rPr>
          <w:noProof w:val="0"/>
          <w:color w:val="17365D"/>
        </w:rPr>
        <w:t>mil</w:t>
      </w:r>
      <w:r w:rsidR="008A49E3" w:rsidRPr="00D613A6">
        <w:rPr>
          <w:noProof w:val="0"/>
          <w:color w:val="17365D"/>
        </w:rPr>
        <w:t>j. </w:t>
      </w:r>
      <w:r w:rsidRPr="00D613A6">
        <w:rPr>
          <w:i/>
          <w:noProof w:val="0"/>
          <w:color w:val="17365D"/>
        </w:rPr>
        <w:t>euro</w:t>
      </w:r>
      <w:r w:rsidRPr="00D613A6">
        <w:rPr>
          <w:noProof w:val="0"/>
          <w:color w:val="17365D"/>
        </w:rPr>
        <w:t xml:space="preserve"> vērtībā, iemaksas sociālajai apdrošināšanai pret nelaimes gadījumiem darbā un arodslimībām </w:t>
      </w:r>
      <w:r w:rsidR="00CC1F78" w:rsidRPr="00D613A6">
        <w:rPr>
          <w:noProof w:val="0"/>
          <w:color w:val="17365D"/>
        </w:rPr>
        <w:t xml:space="preserve">– </w:t>
      </w:r>
      <w:r w:rsidR="0037587E" w:rsidRPr="00D613A6">
        <w:rPr>
          <w:noProof w:val="0"/>
          <w:color w:val="17365D"/>
        </w:rPr>
        <w:t>114</w:t>
      </w:r>
      <w:r w:rsidR="00CC1F78" w:rsidRPr="00D613A6">
        <w:rPr>
          <w:noProof w:val="0"/>
          <w:color w:val="17365D"/>
        </w:rPr>
        <w:t>,</w:t>
      </w:r>
      <w:r w:rsidR="0037587E" w:rsidRPr="00D613A6">
        <w:rPr>
          <w:noProof w:val="0"/>
          <w:color w:val="17365D"/>
        </w:rPr>
        <w:t>7</w:t>
      </w:r>
      <w:r w:rsidRPr="00D613A6">
        <w:rPr>
          <w:noProof w:val="0"/>
          <w:color w:val="17365D"/>
        </w:rPr>
        <w:t xml:space="preserve"> milj. </w:t>
      </w:r>
      <w:r w:rsidRPr="00D613A6">
        <w:rPr>
          <w:i/>
          <w:noProof w:val="0"/>
          <w:color w:val="17365D"/>
        </w:rPr>
        <w:t>euro</w:t>
      </w:r>
      <w:r w:rsidRPr="00D613A6">
        <w:rPr>
          <w:noProof w:val="0"/>
          <w:color w:val="17365D"/>
        </w:rPr>
        <w:t xml:space="preserve"> vērtībā un iemaksas invaliditātes, maternitātes, slimības un vecāku apdrošināšanai 1 0</w:t>
      </w:r>
      <w:r w:rsidR="0037587E" w:rsidRPr="00D613A6">
        <w:rPr>
          <w:noProof w:val="0"/>
          <w:color w:val="17365D"/>
        </w:rPr>
        <w:t>94</w:t>
      </w:r>
      <w:r w:rsidRPr="00D613A6">
        <w:rPr>
          <w:noProof w:val="0"/>
          <w:color w:val="17365D"/>
        </w:rPr>
        <w:t>,</w:t>
      </w:r>
      <w:r w:rsidR="0037587E" w:rsidRPr="00D613A6">
        <w:rPr>
          <w:noProof w:val="0"/>
          <w:color w:val="17365D"/>
        </w:rPr>
        <w:t>0</w:t>
      </w:r>
      <w:r w:rsidRPr="00D613A6">
        <w:rPr>
          <w:noProof w:val="0"/>
          <w:color w:val="17365D"/>
        </w:rPr>
        <w:t xml:space="preserve"> milj. </w:t>
      </w:r>
      <w:r w:rsidRPr="00D613A6">
        <w:rPr>
          <w:i/>
          <w:noProof w:val="0"/>
          <w:color w:val="17365D"/>
        </w:rPr>
        <w:t>euro</w:t>
      </w:r>
      <w:r w:rsidRPr="00D613A6">
        <w:rPr>
          <w:noProof w:val="0"/>
          <w:color w:val="17365D"/>
        </w:rPr>
        <w:t xml:space="preserve"> vērtībā.</w:t>
      </w:r>
    </w:p>
    <w:p w14:paraId="7D70F686" w14:textId="251268CF" w:rsidR="00F15F79" w:rsidRPr="00D613A6" w:rsidRDefault="000A68BF" w:rsidP="008A49E3">
      <w:pPr>
        <w:pStyle w:val="Pamatteksts1"/>
        <w:rPr>
          <w:noProof w:val="0"/>
          <w:color w:val="17365D"/>
        </w:rPr>
      </w:pPr>
      <w:r w:rsidRPr="00D613A6">
        <w:rPr>
          <w:color w:val="17365D"/>
          <w:u w:val="single"/>
        </w:rPr>
        <w:lastRenderedPageBreak/>
        <mc:AlternateContent>
          <mc:Choice Requires="wps">
            <w:drawing>
              <wp:anchor distT="0" distB="0" distL="114300" distR="114300" simplePos="0" relativeHeight="251650560" behindDoc="1" locked="0" layoutInCell="1" allowOverlap="1" wp14:anchorId="3ED8E55F" wp14:editId="05E16E97">
                <wp:simplePos x="0" y="0"/>
                <wp:positionH relativeFrom="column">
                  <wp:posOffset>4263390</wp:posOffset>
                </wp:positionH>
                <wp:positionV relativeFrom="paragraph">
                  <wp:posOffset>24130</wp:posOffset>
                </wp:positionV>
                <wp:extent cx="1680845" cy="795020"/>
                <wp:effectExtent l="0" t="0" r="14605" b="24130"/>
                <wp:wrapThrough wrapText="bothSides">
                  <wp:wrapPolygon edited="0">
                    <wp:start x="0" y="0"/>
                    <wp:lineTo x="0" y="21738"/>
                    <wp:lineTo x="21543" y="21738"/>
                    <wp:lineTo x="21543" y="0"/>
                    <wp:lineTo x="0" y="0"/>
                  </wp:wrapPolygon>
                </wp:wrapThrough>
                <wp:docPr id="34" name="Rectangle 34"/>
                <wp:cNvGraphicFramePr/>
                <a:graphic xmlns:a="http://schemas.openxmlformats.org/drawingml/2006/main">
                  <a:graphicData uri="http://schemas.microsoft.com/office/word/2010/wordprocessingShape">
                    <wps:wsp>
                      <wps:cNvSpPr/>
                      <wps:spPr>
                        <a:xfrm>
                          <a:off x="0" y="0"/>
                          <a:ext cx="1680845" cy="795020"/>
                        </a:xfrm>
                        <a:prstGeom prst="rect">
                          <a:avLst/>
                        </a:prstGeom>
                        <a:solidFill>
                          <a:sysClr val="window" lastClr="FFFFFF"/>
                        </a:solidFill>
                        <a:ln w="25400" cap="flat" cmpd="sng" algn="ctr">
                          <a:solidFill>
                            <a:srgbClr val="17365D"/>
                          </a:solidFill>
                          <a:prstDash val="sysDot"/>
                        </a:ln>
                        <a:effectLst/>
                      </wps:spPr>
                      <wps:txbx>
                        <w:txbxContent>
                          <w:p w14:paraId="38A2D80E" w14:textId="4430A991" w:rsidR="000A5BFC" w:rsidRPr="00815A40" w:rsidRDefault="000A5BFC"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476554BE" w:rsidR="000A5BFC" w:rsidRPr="00815A40" w:rsidRDefault="000A5BFC" w:rsidP="004B1D14">
                            <w:pPr>
                              <w:ind w:firstLine="0"/>
                              <w:jc w:val="center"/>
                              <w:rPr>
                                <w:color w:val="17365D"/>
                              </w:rPr>
                            </w:pPr>
                            <w:r>
                              <w:rPr>
                                <w:b/>
                                <w:bCs/>
                                <w:color w:val="17365D"/>
                              </w:rPr>
                              <w:t>4 311 889 562</w:t>
                            </w:r>
                            <w:r w:rsidRPr="00706126">
                              <w:rPr>
                                <w:b/>
                                <w:bCs/>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8E55F" id="Rectangle 34" o:spid="_x0000_s1031" style="position:absolute;left:0;text-align:left;margin-left:335.7pt;margin-top:1.9pt;width:132.35pt;height:62.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" fillcolor="window" strokecolor="#17365d" strokeweight="2pt">
                <v:stroke dashstyle="1 1"/>
                <v:textbox>
                  <w:txbxContent>
                    <w:p w14:paraId="38A2D80E" w14:textId="4430A991" w:rsidR="000A5BFC" w:rsidRPr="00815A40" w:rsidRDefault="000A5BFC"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476554BE" w:rsidR="000A5BFC" w:rsidRPr="00815A40" w:rsidRDefault="000A5BFC" w:rsidP="004B1D14">
                      <w:pPr>
                        <w:ind w:firstLine="0"/>
                        <w:jc w:val="center"/>
                        <w:rPr>
                          <w:color w:val="17365D"/>
                        </w:rPr>
                      </w:pPr>
                      <w:r>
                        <w:rPr>
                          <w:b/>
                          <w:bCs/>
                          <w:color w:val="17365D"/>
                        </w:rPr>
                        <w:t>4 311 889 562</w:t>
                      </w:r>
                      <w:r w:rsidRPr="00706126">
                        <w:rPr>
                          <w:b/>
                          <w:bCs/>
                          <w:color w:val="17365D"/>
                        </w:rPr>
                        <w:t xml:space="preserve"> </w:t>
                      </w:r>
                      <w:r w:rsidRPr="00815A40">
                        <w:rPr>
                          <w:i/>
                          <w:color w:val="17365D"/>
                        </w:rPr>
                        <w:t>euro</w:t>
                      </w:r>
                    </w:p>
                  </w:txbxContent>
                </v:textbox>
                <w10:wrap type="through"/>
              </v:rect>
            </w:pict>
          </mc:Fallback>
        </mc:AlternateContent>
      </w:r>
      <w:r w:rsidR="008A1D5C" w:rsidRPr="00D613A6">
        <w:rPr>
          <w:bCs/>
          <w:noProof w:val="0"/>
          <w:color w:val="17365D"/>
          <w:u w:val="single"/>
        </w:rPr>
        <w:t>Valsts speciālā budžeta</w:t>
      </w:r>
      <w:r w:rsidR="00B26141" w:rsidRPr="00D613A6">
        <w:rPr>
          <w:bCs/>
          <w:noProof w:val="0"/>
          <w:color w:val="17365D"/>
          <w:u w:val="single"/>
        </w:rPr>
        <w:t xml:space="preserve"> </w:t>
      </w:r>
      <w:r w:rsidR="00E01A43" w:rsidRPr="00D613A6">
        <w:rPr>
          <w:bCs/>
          <w:noProof w:val="0"/>
          <w:color w:val="17365D"/>
          <w:u w:val="single"/>
        </w:rPr>
        <w:t>izdevumi</w:t>
      </w:r>
      <w:r w:rsidR="008A1D5C" w:rsidRPr="00D613A6">
        <w:rPr>
          <w:noProof w:val="0"/>
          <w:color w:val="17365D"/>
        </w:rPr>
        <w:t xml:space="preserve"> </w:t>
      </w:r>
      <w:r w:rsidR="00E01A43" w:rsidRPr="00D613A6">
        <w:rPr>
          <w:noProof w:val="0"/>
          <w:color w:val="17365D"/>
        </w:rPr>
        <w:t>20</w:t>
      </w:r>
      <w:r w:rsidR="00612EF5" w:rsidRPr="00D613A6">
        <w:rPr>
          <w:noProof w:val="0"/>
          <w:color w:val="17365D"/>
        </w:rPr>
        <w:t>2</w:t>
      </w:r>
      <w:r w:rsidR="0037587E" w:rsidRPr="00D613A6">
        <w:rPr>
          <w:noProof w:val="0"/>
          <w:color w:val="17365D"/>
        </w:rPr>
        <w:t>4</w:t>
      </w:r>
      <w:r w:rsidR="00E01A43" w:rsidRPr="00D613A6">
        <w:rPr>
          <w:noProof w:val="0"/>
          <w:color w:val="17365D"/>
        </w:rPr>
        <w:t xml:space="preserve">. gadā </w:t>
      </w:r>
      <w:r w:rsidR="005A73EA" w:rsidRPr="00D613A6">
        <w:rPr>
          <w:noProof w:val="0"/>
          <w:color w:val="17365D"/>
        </w:rPr>
        <w:t>sasniedza</w:t>
      </w:r>
      <w:r w:rsidR="0099642C" w:rsidRPr="00D613A6">
        <w:rPr>
          <w:noProof w:val="0"/>
          <w:color w:val="17365D"/>
        </w:rPr>
        <w:t xml:space="preserve"> </w:t>
      </w:r>
      <w:r w:rsidR="0037587E" w:rsidRPr="00D613A6">
        <w:rPr>
          <w:noProof w:val="0"/>
          <w:color w:val="17365D"/>
        </w:rPr>
        <w:t>4</w:t>
      </w:r>
      <w:r w:rsidR="0099642C" w:rsidRPr="00D613A6">
        <w:rPr>
          <w:noProof w:val="0"/>
          <w:color w:val="17365D"/>
        </w:rPr>
        <w:t> </w:t>
      </w:r>
      <w:r w:rsidR="0037587E" w:rsidRPr="00D613A6">
        <w:rPr>
          <w:noProof w:val="0"/>
          <w:color w:val="17365D"/>
        </w:rPr>
        <w:t>311</w:t>
      </w:r>
      <w:r w:rsidR="0099642C" w:rsidRPr="00D613A6">
        <w:rPr>
          <w:noProof w:val="0"/>
          <w:color w:val="17365D"/>
        </w:rPr>
        <w:t>,</w:t>
      </w:r>
      <w:r w:rsidR="0037587E" w:rsidRPr="00D613A6">
        <w:rPr>
          <w:noProof w:val="0"/>
          <w:color w:val="17365D"/>
        </w:rPr>
        <w:t>9</w:t>
      </w:r>
      <w:r w:rsidR="0099642C" w:rsidRPr="00D613A6">
        <w:rPr>
          <w:noProof w:val="0"/>
          <w:color w:val="17365D"/>
        </w:rPr>
        <w:t> milj. </w:t>
      </w:r>
      <w:r w:rsidR="0099642C" w:rsidRPr="00D613A6">
        <w:rPr>
          <w:i/>
          <w:noProof w:val="0"/>
          <w:color w:val="17365D"/>
        </w:rPr>
        <w:t>euro</w:t>
      </w:r>
      <w:r w:rsidR="00AB4BEE" w:rsidRPr="00D613A6">
        <w:rPr>
          <w:i/>
          <w:noProof w:val="0"/>
          <w:color w:val="17365D"/>
        </w:rPr>
        <w:t xml:space="preserve"> </w:t>
      </w:r>
      <w:r w:rsidR="00AB4BEE" w:rsidRPr="00D613A6">
        <w:rPr>
          <w:noProof w:val="0"/>
          <w:color w:val="17365D"/>
        </w:rPr>
        <w:t>vērt</w:t>
      </w:r>
      <w:r w:rsidR="0080478E" w:rsidRPr="00D613A6">
        <w:rPr>
          <w:noProof w:val="0"/>
          <w:color w:val="17365D"/>
        </w:rPr>
        <w:t>ību</w:t>
      </w:r>
      <w:r w:rsidR="006271FE" w:rsidRPr="00D613A6">
        <w:rPr>
          <w:noProof w:val="0"/>
          <w:color w:val="17365D"/>
        </w:rPr>
        <w:t xml:space="preserve">, bet </w:t>
      </w:r>
      <w:r w:rsidR="0099642C" w:rsidRPr="00D613A6">
        <w:rPr>
          <w:noProof w:val="0"/>
          <w:color w:val="17365D"/>
        </w:rPr>
        <w:t>s</w:t>
      </w:r>
      <w:r w:rsidR="00E01A43" w:rsidRPr="00D613A6">
        <w:rPr>
          <w:noProof w:val="0"/>
          <w:color w:val="17365D"/>
        </w:rPr>
        <w:t xml:space="preserve">alīdzinājumā ar plānu </w:t>
      </w:r>
      <w:r w:rsidR="008A1D5C" w:rsidRPr="00D613A6">
        <w:rPr>
          <w:noProof w:val="0"/>
          <w:color w:val="17365D"/>
        </w:rPr>
        <w:t xml:space="preserve">izlietoti </w:t>
      </w:r>
      <w:r w:rsidR="0099642C" w:rsidRPr="00D613A6">
        <w:rPr>
          <w:noProof w:val="0"/>
          <w:color w:val="17365D"/>
        </w:rPr>
        <w:t>9</w:t>
      </w:r>
      <w:r w:rsidR="0037587E" w:rsidRPr="00D613A6">
        <w:rPr>
          <w:noProof w:val="0"/>
          <w:color w:val="17365D"/>
        </w:rPr>
        <w:t>9</w:t>
      </w:r>
      <w:r w:rsidR="008A1D5C" w:rsidRPr="00D613A6">
        <w:rPr>
          <w:noProof w:val="0"/>
          <w:color w:val="17365D"/>
        </w:rPr>
        <w:t>,</w:t>
      </w:r>
      <w:r w:rsidR="0037587E" w:rsidRPr="00D613A6">
        <w:rPr>
          <w:noProof w:val="0"/>
          <w:color w:val="17365D"/>
        </w:rPr>
        <w:t>06</w:t>
      </w:r>
      <w:r w:rsidR="006A7956" w:rsidRPr="00D613A6">
        <w:rPr>
          <w:noProof w:val="0"/>
          <w:color w:val="17365D"/>
        </w:rPr>
        <w:t> %</w:t>
      </w:r>
      <w:r w:rsidR="00E01A43" w:rsidRPr="00D613A6">
        <w:rPr>
          <w:noProof w:val="0"/>
          <w:color w:val="17365D"/>
        </w:rPr>
        <w:t xml:space="preserve"> apmērā </w:t>
      </w:r>
      <w:r w:rsidR="00413AE2" w:rsidRPr="00D613A6">
        <w:rPr>
          <w:noProof w:val="0"/>
          <w:color w:val="17365D"/>
        </w:rPr>
        <w:t xml:space="preserve">(skatīt </w:t>
      </w:r>
      <w:r w:rsidR="006019DC" w:rsidRPr="00D613A6">
        <w:rPr>
          <w:noProof w:val="0"/>
          <w:color w:val="17365D"/>
        </w:rPr>
        <w:t>6.</w:t>
      </w:r>
      <w:r w:rsidR="0044403C" w:rsidRPr="00D613A6">
        <w:rPr>
          <w:noProof w:val="0"/>
          <w:color w:val="17365D"/>
        </w:rPr>
        <w:t>7</w:t>
      </w:r>
      <w:r w:rsidR="00413AE2" w:rsidRPr="00D613A6">
        <w:rPr>
          <w:noProof w:val="0"/>
          <w:color w:val="17365D"/>
        </w:rPr>
        <w:t>.</w:t>
      </w:r>
      <w:r w:rsidR="00395AC6" w:rsidRPr="00D613A6">
        <w:rPr>
          <w:noProof w:val="0"/>
          <w:color w:val="17365D"/>
        </w:rPr>
        <w:t> </w:t>
      </w:r>
      <w:r w:rsidR="00151D04" w:rsidRPr="00D613A6">
        <w:rPr>
          <w:noProof w:val="0"/>
          <w:color w:val="17365D"/>
        </w:rPr>
        <w:t>tabulu).</w:t>
      </w:r>
      <w:r w:rsidR="00413AE2" w:rsidRPr="00D613A6">
        <w:rPr>
          <w:noProof w:val="0"/>
          <w:color w:val="17365D"/>
        </w:rPr>
        <w:t xml:space="preserve"> </w:t>
      </w:r>
      <w:r w:rsidR="00151D04" w:rsidRPr="00D613A6">
        <w:rPr>
          <w:noProof w:val="0"/>
          <w:color w:val="17365D"/>
        </w:rPr>
        <w:t>I</w:t>
      </w:r>
      <w:r w:rsidR="0099642C" w:rsidRPr="00D613A6">
        <w:rPr>
          <w:noProof w:val="0"/>
          <w:color w:val="17365D"/>
        </w:rPr>
        <w:t>zdevumu pieaugum</w:t>
      </w:r>
      <w:r w:rsidR="00413AE2" w:rsidRPr="00D613A6">
        <w:rPr>
          <w:noProof w:val="0"/>
          <w:color w:val="17365D"/>
        </w:rPr>
        <w:t>s</w:t>
      </w:r>
      <w:r w:rsidR="0099642C" w:rsidRPr="00D613A6">
        <w:rPr>
          <w:noProof w:val="0"/>
          <w:color w:val="17365D"/>
        </w:rPr>
        <w:t xml:space="preserve"> </w:t>
      </w:r>
      <w:r w:rsidR="00E75990" w:rsidRPr="00D613A6">
        <w:rPr>
          <w:noProof w:val="0"/>
          <w:color w:val="17365D"/>
        </w:rPr>
        <w:t xml:space="preserve">saistīts ar </w:t>
      </w:r>
      <w:r w:rsidR="00630F31" w:rsidRPr="00D613A6">
        <w:rPr>
          <w:noProof w:val="0"/>
          <w:color w:val="17365D"/>
        </w:rPr>
        <w:t>pensiju indeksāciju 202</w:t>
      </w:r>
      <w:r w:rsidR="0037587E" w:rsidRPr="00D613A6">
        <w:rPr>
          <w:noProof w:val="0"/>
          <w:color w:val="17365D"/>
        </w:rPr>
        <w:t>4</w:t>
      </w:r>
      <w:r w:rsidR="00630F31" w:rsidRPr="00D613A6">
        <w:rPr>
          <w:noProof w:val="0"/>
          <w:color w:val="17365D"/>
        </w:rPr>
        <w:t>.</w:t>
      </w:r>
      <w:r w:rsidR="00034987" w:rsidRPr="00D613A6">
        <w:rPr>
          <w:noProof w:val="0"/>
          <w:color w:val="17365D"/>
        </w:rPr>
        <w:t> </w:t>
      </w:r>
      <w:r w:rsidR="00630F31" w:rsidRPr="00D613A6">
        <w:rPr>
          <w:noProof w:val="0"/>
          <w:color w:val="17365D"/>
        </w:rPr>
        <w:t xml:space="preserve">gada </w:t>
      </w:r>
      <w:r w:rsidR="00706126" w:rsidRPr="00D613A6">
        <w:rPr>
          <w:noProof w:val="0"/>
          <w:color w:val="17365D"/>
        </w:rPr>
        <w:t>oktobrī</w:t>
      </w:r>
      <w:r w:rsidR="005A73EA" w:rsidRPr="00D613A6">
        <w:rPr>
          <w:noProof w:val="0"/>
          <w:color w:val="17365D"/>
        </w:rPr>
        <w:t xml:space="preserve"> un attiecīgu </w:t>
      </w:r>
      <w:r w:rsidR="00AB4BEE" w:rsidRPr="00D613A6">
        <w:rPr>
          <w:noProof w:val="0"/>
          <w:color w:val="17365D"/>
        </w:rPr>
        <w:t xml:space="preserve">pensiju un pabalstu </w:t>
      </w:r>
      <w:r w:rsidR="00706126" w:rsidRPr="00D613A6">
        <w:rPr>
          <w:noProof w:val="0"/>
          <w:color w:val="17365D"/>
        </w:rPr>
        <w:t>atlīdzību saņēmēju skaita palielināšan</w:t>
      </w:r>
      <w:r w:rsidR="00AB4BEE" w:rsidRPr="00D613A6">
        <w:rPr>
          <w:noProof w:val="0"/>
          <w:color w:val="17365D"/>
        </w:rPr>
        <w:t>o</w:t>
      </w:r>
      <w:r w:rsidR="00706126" w:rsidRPr="00D613A6">
        <w:rPr>
          <w:noProof w:val="0"/>
          <w:color w:val="17365D"/>
        </w:rPr>
        <w:t>s</w:t>
      </w:r>
      <w:r w:rsidR="005A73EA" w:rsidRPr="00D613A6">
        <w:rPr>
          <w:noProof w:val="0"/>
          <w:color w:val="17365D"/>
        </w:rPr>
        <w:t>.</w:t>
      </w:r>
    </w:p>
    <w:p w14:paraId="42CA33FF" w14:textId="6F1FD2B3" w:rsidR="008A49E3" w:rsidRPr="00D613A6" w:rsidRDefault="008A49E3" w:rsidP="008A49E3">
      <w:pPr>
        <w:pStyle w:val="Pamatteksts1"/>
        <w:rPr>
          <w:noProof w:val="0"/>
          <w:color w:val="17365D"/>
        </w:rPr>
      </w:pPr>
      <w:r w:rsidRPr="00D613A6">
        <w:rPr>
          <w:color w:val="17365D"/>
        </w:rPr>
        <w:t xml:space="preserve">Būtiskas izmaiņas veidojas </w:t>
      </w:r>
      <w:r w:rsidRPr="00D613A6">
        <w:rPr>
          <w:noProof w:val="0"/>
          <w:color w:val="17365D"/>
        </w:rPr>
        <w:t>postenim “</w:t>
      </w:r>
      <w:r w:rsidR="00427E2E" w:rsidRPr="00D613A6">
        <w:rPr>
          <w:bCs/>
          <w:noProof w:val="0"/>
          <w:color w:val="17365D"/>
        </w:rPr>
        <w:t>Subsīdijas, dotācijas un sociāla rakstura maksājumi un kompensācijas</w:t>
      </w:r>
      <w:r w:rsidRPr="00D613A6">
        <w:rPr>
          <w:noProof w:val="0"/>
          <w:color w:val="17365D"/>
        </w:rPr>
        <w:t xml:space="preserve">” </w:t>
      </w:r>
      <w:r w:rsidR="0037587E" w:rsidRPr="00D613A6">
        <w:rPr>
          <w:noProof w:val="0"/>
          <w:color w:val="17365D"/>
        </w:rPr>
        <w:t>– pārskata perioda izdevumi ir 4</w:t>
      </w:r>
      <w:r w:rsidRPr="00D613A6">
        <w:rPr>
          <w:noProof w:val="0"/>
          <w:color w:val="17365D"/>
        </w:rPr>
        <w:t> </w:t>
      </w:r>
      <w:r w:rsidR="0037587E" w:rsidRPr="00D613A6">
        <w:rPr>
          <w:noProof w:val="0"/>
          <w:color w:val="17365D"/>
        </w:rPr>
        <w:t>279,9</w:t>
      </w:r>
      <w:r w:rsidRPr="00D613A6">
        <w:rPr>
          <w:noProof w:val="0"/>
          <w:color w:val="17365D"/>
        </w:rPr>
        <w:t xml:space="preserve"> milj. </w:t>
      </w:r>
      <w:r w:rsidRPr="00D613A6">
        <w:rPr>
          <w:i/>
          <w:noProof w:val="0"/>
          <w:color w:val="17365D"/>
        </w:rPr>
        <w:t>euro </w:t>
      </w:r>
      <w:r w:rsidR="0037587E" w:rsidRPr="00D613A6">
        <w:rPr>
          <w:noProof w:val="0"/>
          <w:color w:val="17365D"/>
        </w:rPr>
        <w:t>vērtībā, kas, salīdzinot ar 2023. gadu, palielinājās par 323,8</w:t>
      </w:r>
      <w:r w:rsidRPr="00D613A6">
        <w:rPr>
          <w:noProof w:val="0"/>
          <w:color w:val="17365D"/>
        </w:rPr>
        <w:t> milj. </w:t>
      </w:r>
      <w:r w:rsidRPr="00D613A6">
        <w:rPr>
          <w:i/>
          <w:noProof w:val="0"/>
          <w:color w:val="17365D"/>
        </w:rPr>
        <w:t>euro</w:t>
      </w:r>
      <w:r w:rsidR="0037587E" w:rsidRPr="00D613A6">
        <w:rPr>
          <w:noProof w:val="0"/>
          <w:color w:val="17365D"/>
        </w:rPr>
        <w:t xml:space="preserve"> jeb 8</w:t>
      </w:r>
      <w:r w:rsidRPr="00D613A6">
        <w:rPr>
          <w:noProof w:val="0"/>
          <w:color w:val="17365D"/>
        </w:rPr>
        <w:t>,1</w:t>
      </w:r>
      <w:r w:rsidR="0037587E" w:rsidRPr="00D613A6">
        <w:rPr>
          <w:noProof w:val="0"/>
          <w:color w:val="17365D"/>
        </w:rPr>
        <w:t>8</w:t>
      </w:r>
      <w:r w:rsidRPr="00D613A6">
        <w:rPr>
          <w:noProof w:val="0"/>
          <w:color w:val="17365D"/>
        </w:rPr>
        <w:t> %. Veikti maksājumi vecuma pensijas izmaksai,</w:t>
      </w:r>
      <w:r w:rsidRPr="00D613A6">
        <w:rPr>
          <w:color w:val="17365D"/>
        </w:rPr>
        <w:t xml:space="preserve"> </w:t>
      </w:r>
      <w:r w:rsidRPr="00D613A6">
        <w:rPr>
          <w:noProof w:val="0"/>
          <w:color w:val="17365D"/>
        </w:rPr>
        <w:t>invaliditātes pensijas izmaksai, bezdarbnieku pabalstu izmaksai un sociāla rakstura pakalpojumiem un kompensācijām.</w:t>
      </w:r>
    </w:p>
    <w:p w14:paraId="4C1638A2" w14:textId="082A6FAD" w:rsidR="0077056C" w:rsidRPr="00D613A6" w:rsidRDefault="00945AD5" w:rsidP="0077056C">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7</w:t>
      </w:r>
      <w:r w:rsidR="0077056C" w:rsidRPr="00D613A6">
        <w:rPr>
          <w:rFonts w:eastAsia="Arial Unicode MS"/>
          <w:i/>
          <w:color w:val="17365D"/>
          <w:sz w:val="20"/>
        </w:rPr>
        <w:t>. tabula. Speciālā budžeta i</w:t>
      </w:r>
      <w:r w:rsidR="0077056C" w:rsidRPr="00D613A6">
        <w:rPr>
          <w:bCs/>
          <w:i/>
          <w:color w:val="17365D"/>
          <w:sz w:val="20"/>
          <w:szCs w:val="20"/>
        </w:rPr>
        <w:t>zdevumu izmaiņas (</w:t>
      </w:r>
      <w:r w:rsidR="0077056C" w:rsidRPr="00D613A6">
        <w:rPr>
          <w:i/>
          <w:color w:val="17365D"/>
          <w:sz w:val="20"/>
        </w:rPr>
        <w:t>euro)</w:t>
      </w:r>
    </w:p>
    <w:tbl>
      <w:tblPr>
        <w:tblStyle w:val="TableGrid"/>
        <w:tblW w:w="9374" w:type="dxa"/>
        <w:tblInd w:w="-5" w:type="dxa"/>
        <w:tblLayout w:type="fixed"/>
        <w:tblLook w:val="04A0" w:firstRow="1" w:lastRow="0" w:firstColumn="1" w:lastColumn="0" w:noHBand="0" w:noVBand="1"/>
      </w:tblPr>
      <w:tblGrid>
        <w:gridCol w:w="898"/>
        <w:gridCol w:w="2575"/>
        <w:gridCol w:w="1475"/>
        <w:gridCol w:w="1475"/>
        <w:gridCol w:w="1624"/>
        <w:gridCol w:w="1327"/>
      </w:tblGrid>
      <w:tr w:rsidR="00D613A6" w:rsidRPr="00D613A6" w14:paraId="71D111F8" w14:textId="77777777" w:rsidTr="00804A66">
        <w:trPr>
          <w:cantSplit/>
          <w:trHeight w:val="284"/>
          <w:tblHeader/>
        </w:trPr>
        <w:tc>
          <w:tcPr>
            <w:tcW w:w="898" w:type="dxa"/>
            <w:vMerge w:val="restart"/>
            <w:tcBorders>
              <w:top w:val="nil"/>
              <w:left w:val="nil"/>
              <w:bottom w:val="single" w:sz="4" w:space="0" w:color="17365D"/>
              <w:right w:val="nil"/>
            </w:tcBorders>
            <w:shd w:val="clear" w:color="auto" w:fill="B9CDE5"/>
            <w:vAlign w:val="center"/>
          </w:tcPr>
          <w:p w14:paraId="0B877FC6"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5" w:type="dxa"/>
            <w:vMerge w:val="restart"/>
            <w:tcBorders>
              <w:top w:val="nil"/>
              <w:left w:val="nil"/>
              <w:bottom w:val="single" w:sz="4" w:space="0" w:color="17365D"/>
              <w:right w:val="nil"/>
            </w:tcBorders>
            <w:shd w:val="clear" w:color="auto" w:fill="B9CDE5"/>
            <w:vAlign w:val="center"/>
          </w:tcPr>
          <w:p w14:paraId="683D93B6"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50" w:type="dxa"/>
            <w:gridSpan w:val="2"/>
            <w:tcBorders>
              <w:top w:val="nil"/>
              <w:left w:val="nil"/>
              <w:bottom w:val="single" w:sz="4" w:space="0" w:color="17365D"/>
              <w:right w:val="nil"/>
            </w:tcBorders>
            <w:shd w:val="clear" w:color="auto" w:fill="B9CDE5"/>
            <w:vAlign w:val="center"/>
          </w:tcPr>
          <w:p w14:paraId="1D58A395"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4" w:type="dxa"/>
            <w:vMerge w:val="restart"/>
            <w:tcBorders>
              <w:top w:val="nil"/>
              <w:left w:val="nil"/>
              <w:bottom w:val="single" w:sz="4" w:space="0" w:color="17365D"/>
              <w:right w:val="nil"/>
            </w:tcBorders>
            <w:shd w:val="clear" w:color="auto" w:fill="B9CDE5"/>
            <w:vAlign w:val="center"/>
          </w:tcPr>
          <w:p w14:paraId="6C884545"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42D66678"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27" w:type="dxa"/>
            <w:vMerge w:val="restart"/>
            <w:tcBorders>
              <w:top w:val="nil"/>
              <w:left w:val="nil"/>
              <w:bottom w:val="single" w:sz="4" w:space="0" w:color="17365D"/>
              <w:right w:val="nil"/>
            </w:tcBorders>
            <w:shd w:val="clear" w:color="auto" w:fill="B9CDE5"/>
            <w:vAlign w:val="center"/>
          </w:tcPr>
          <w:p w14:paraId="3625F3EB"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690B4E8B"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(3./2. x 100)</w:t>
            </w:r>
          </w:p>
        </w:tc>
      </w:tr>
      <w:tr w:rsidR="00D613A6" w:rsidRPr="00D613A6" w14:paraId="0531D9D7" w14:textId="77777777" w:rsidTr="00804A66">
        <w:trPr>
          <w:cantSplit/>
          <w:trHeight w:val="623"/>
          <w:tblHeader/>
        </w:trPr>
        <w:tc>
          <w:tcPr>
            <w:tcW w:w="898" w:type="dxa"/>
            <w:vMerge/>
            <w:tcBorders>
              <w:top w:val="single" w:sz="4" w:space="0" w:color="17365D"/>
              <w:left w:val="nil"/>
              <w:bottom w:val="nil"/>
              <w:right w:val="nil"/>
            </w:tcBorders>
          </w:tcPr>
          <w:p w14:paraId="7CAB5160" w14:textId="77777777" w:rsidR="0077056C" w:rsidRPr="00D613A6" w:rsidRDefault="0077056C" w:rsidP="00804A66">
            <w:pPr>
              <w:pStyle w:val="Pamatteksts1"/>
              <w:spacing w:after="0"/>
              <w:ind w:firstLine="0"/>
              <w:rPr>
                <w:color w:val="17365D"/>
                <w:sz w:val="20"/>
                <w:szCs w:val="20"/>
              </w:rPr>
            </w:pPr>
          </w:p>
        </w:tc>
        <w:tc>
          <w:tcPr>
            <w:tcW w:w="2575" w:type="dxa"/>
            <w:vMerge/>
            <w:tcBorders>
              <w:top w:val="single" w:sz="4" w:space="0" w:color="17365D"/>
              <w:left w:val="nil"/>
              <w:bottom w:val="nil"/>
              <w:right w:val="nil"/>
            </w:tcBorders>
          </w:tcPr>
          <w:p w14:paraId="535DBA7F" w14:textId="77777777" w:rsidR="0077056C" w:rsidRPr="00D613A6" w:rsidRDefault="0077056C" w:rsidP="00804A66">
            <w:pPr>
              <w:pStyle w:val="Pamatteksts1"/>
              <w:spacing w:after="0"/>
              <w:ind w:firstLine="0"/>
              <w:rPr>
                <w:color w:val="17365D"/>
                <w:sz w:val="20"/>
                <w:szCs w:val="20"/>
              </w:rPr>
            </w:pPr>
          </w:p>
        </w:tc>
        <w:tc>
          <w:tcPr>
            <w:tcW w:w="1475" w:type="dxa"/>
            <w:tcBorders>
              <w:top w:val="single" w:sz="4" w:space="0" w:color="17365D"/>
              <w:left w:val="nil"/>
              <w:bottom w:val="nil"/>
              <w:right w:val="nil"/>
            </w:tcBorders>
            <w:shd w:val="clear" w:color="auto" w:fill="B9CDE5"/>
            <w:vAlign w:val="center"/>
          </w:tcPr>
          <w:p w14:paraId="4DC88642" w14:textId="77777777" w:rsidR="0077056C" w:rsidRPr="00D613A6" w:rsidRDefault="0077056C" w:rsidP="00804A66">
            <w:pPr>
              <w:spacing w:before="60" w:after="60"/>
              <w:ind w:firstLine="0"/>
              <w:jc w:val="center"/>
              <w:rPr>
                <w:b/>
                <w:noProof/>
                <w:color w:val="17365D"/>
                <w:sz w:val="20"/>
                <w:szCs w:val="20"/>
              </w:rPr>
            </w:pPr>
            <w:r w:rsidRPr="00D613A6">
              <w:rPr>
                <w:b/>
                <w:noProof/>
                <w:color w:val="17365D"/>
                <w:sz w:val="20"/>
                <w:szCs w:val="20"/>
              </w:rPr>
              <w:t>pārskata periodā</w:t>
            </w:r>
          </w:p>
        </w:tc>
        <w:tc>
          <w:tcPr>
            <w:tcW w:w="1475" w:type="dxa"/>
            <w:tcBorders>
              <w:top w:val="single" w:sz="4" w:space="0" w:color="17365D"/>
              <w:left w:val="nil"/>
              <w:bottom w:val="nil"/>
              <w:right w:val="nil"/>
            </w:tcBorders>
            <w:shd w:val="clear" w:color="auto" w:fill="B9CDE5"/>
            <w:vAlign w:val="center"/>
          </w:tcPr>
          <w:p w14:paraId="20D36FF0" w14:textId="77777777" w:rsidR="0077056C" w:rsidRPr="00D613A6" w:rsidRDefault="0077056C" w:rsidP="00804A66">
            <w:pPr>
              <w:spacing w:before="60" w:after="60"/>
              <w:ind w:firstLine="0"/>
              <w:jc w:val="center"/>
              <w:rPr>
                <w:b/>
                <w:noProof/>
                <w:color w:val="17365D"/>
                <w:sz w:val="20"/>
                <w:szCs w:val="20"/>
              </w:rPr>
            </w:pPr>
            <w:r w:rsidRPr="00D613A6">
              <w:rPr>
                <w:b/>
                <w:color w:val="17365D"/>
                <w:sz w:val="20"/>
                <w:szCs w:val="20"/>
              </w:rPr>
              <w:t>iepriekšējā pārskata periodā</w:t>
            </w:r>
          </w:p>
        </w:tc>
        <w:tc>
          <w:tcPr>
            <w:tcW w:w="1624" w:type="dxa"/>
            <w:vMerge/>
            <w:tcBorders>
              <w:top w:val="single" w:sz="4" w:space="0" w:color="17365D"/>
              <w:left w:val="nil"/>
              <w:bottom w:val="nil"/>
              <w:right w:val="nil"/>
            </w:tcBorders>
          </w:tcPr>
          <w:p w14:paraId="6A7A1B7C" w14:textId="77777777" w:rsidR="0077056C" w:rsidRPr="00D613A6" w:rsidRDefault="0077056C" w:rsidP="00804A66">
            <w:pPr>
              <w:pStyle w:val="Pamatteksts1"/>
              <w:spacing w:before="60" w:after="60"/>
              <w:ind w:left="-107" w:right="-105" w:firstLine="0"/>
              <w:jc w:val="center"/>
              <w:rPr>
                <w:b/>
                <w:color w:val="17365D"/>
                <w:sz w:val="20"/>
                <w:szCs w:val="20"/>
              </w:rPr>
            </w:pPr>
          </w:p>
        </w:tc>
        <w:tc>
          <w:tcPr>
            <w:tcW w:w="1327" w:type="dxa"/>
            <w:vMerge/>
            <w:tcBorders>
              <w:top w:val="single" w:sz="4" w:space="0" w:color="17365D"/>
              <w:left w:val="nil"/>
              <w:bottom w:val="nil"/>
              <w:right w:val="nil"/>
            </w:tcBorders>
          </w:tcPr>
          <w:p w14:paraId="697D40F5" w14:textId="77777777" w:rsidR="0077056C" w:rsidRPr="00D613A6" w:rsidRDefault="0077056C" w:rsidP="00804A66">
            <w:pPr>
              <w:spacing w:after="0"/>
              <w:ind w:firstLine="0"/>
              <w:rPr>
                <w:color w:val="17365D"/>
                <w:sz w:val="20"/>
                <w:szCs w:val="20"/>
              </w:rPr>
            </w:pPr>
          </w:p>
        </w:tc>
      </w:tr>
      <w:tr w:rsidR="00D613A6" w:rsidRPr="00D613A6" w14:paraId="59D205F8" w14:textId="77777777" w:rsidTr="00804A66">
        <w:trPr>
          <w:cantSplit/>
          <w:trHeight w:val="284"/>
          <w:tblHeader/>
        </w:trPr>
        <w:tc>
          <w:tcPr>
            <w:tcW w:w="898" w:type="dxa"/>
            <w:tcBorders>
              <w:top w:val="nil"/>
              <w:left w:val="nil"/>
              <w:bottom w:val="single" w:sz="4" w:space="0" w:color="17365D"/>
              <w:right w:val="nil"/>
            </w:tcBorders>
            <w:vAlign w:val="center"/>
          </w:tcPr>
          <w:p w14:paraId="647EB09F"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A</w:t>
            </w:r>
          </w:p>
        </w:tc>
        <w:tc>
          <w:tcPr>
            <w:tcW w:w="2575" w:type="dxa"/>
            <w:tcBorders>
              <w:top w:val="nil"/>
              <w:left w:val="nil"/>
              <w:bottom w:val="single" w:sz="4" w:space="0" w:color="17365D"/>
              <w:right w:val="nil"/>
            </w:tcBorders>
            <w:vAlign w:val="center"/>
          </w:tcPr>
          <w:p w14:paraId="6B4AA158"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B</w:t>
            </w:r>
          </w:p>
        </w:tc>
        <w:tc>
          <w:tcPr>
            <w:tcW w:w="1475" w:type="dxa"/>
            <w:tcBorders>
              <w:top w:val="nil"/>
              <w:left w:val="nil"/>
              <w:bottom w:val="single" w:sz="4" w:space="0" w:color="17365D"/>
              <w:right w:val="nil"/>
            </w:tcBorders>
            <w:vAlign w:val="center"/>
          </w:tcPr>
          <w:p w14:paraId="291CA827"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1</w:t>
            </w:r>
          </w:p>
        </w:tc>
        <w:tc>
          <w:tcPr>
            <w:tcW w:w="1475" w:type="dxa"/>
            <w:tcBorders>
              <w:top w:val="nil"/>
              <w:left w:val="nil"/>
              <w:bottom w:val="single" w:sz="4" w:space="0" w:color="17365D"/>
              <w:right w:val="nil"/>
            </w:tcBorders>
            <w:vAlign w:val="center"/>
          </w:tcPr>
          <w:p w14:paraId="4B6BAB52"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2</w:t>
            </w:r>
          </w:p>
        </w:tc>
        <w:tc>
          <w:tcPr>
            <w:tcW w:w="1624" w:type="dxa"/>
            <w:tcBorders>
              <w:top w:val="nil"/>
              <w:left w:val="nil"/>
              <w:bottom w:val="single" w:sz="4" w:space="0" w:color="17365D"/>
              <w:right w:val="nil"/>
            </w:tcBorders>
            <w:vAlign w:val="center"/>
          </w:tcPr>
          <w:p w14:paraId="7C9849BE"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7" w:type="dxa"/>
            <w:tcBorders>
              <w:top w:val="nil"/>
              <w:left w:val="nil"/>
              <w:bottom w:val="single" w:sz="4" w:space="0" w:color="17365D"/>
              <w:right w:val="nil"/>
            </w:tcBorders>
            <w:vAlign w:val="center"/>
          </w:tcPr>
          <w:p w14:paraId="7951FFDF"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11FFFA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693BF3F3" w14:textId="77777777" w:rsidR="0037587E" w:rsidRPr="00D613A6" w:rsidRDefault="0037587E" w:rsidP="0037587E">
            <w:pPr>
              <w:pStyle w:val="Pamatteksts1"/>
              <w:spacing w:before="40" w:after="40"/>
              <w:ind w:firstLine="0"/>
              <w:jc w:val="left"/>
              <w:rPr>
                <w:b/>
                <w:color w:val="17365D"/>
                <w:sz w:val="20"/>
                <w:szCs w:val="20"/>
              </w:rPr>
            </w:pPr>
            <w:r w:rsidRPr="00D613A6">
              <w:rPr>
                <w:b/>
                <w:color w:val="17365D"/>
                <w:sz w:val="20"/>
                <w:szCs w:val="20"/>
              </w:rPr>
              <w:t>II.</w:t>
            </w:r>
          </w:p>
        </w:tc>
        <w:tc>
          <w:tcPr>
            <w:tcW w:w="2575" w:type="dxa"/>
            <w:tcBorders>
              <w:top w:val="single" w:sz="4" w:space="0" w:color="17365D"/>
              <w:left w:val="nil"/>
              <w:bottom w:val="single" w:sz="4" w:space="0" w:color="17365D"/>
              <w:right w:val="nil"/>
            </w:tcBorders>
            <w:shd w:val="clear" w:color="000000" w:fill="FFFFFF"/>
            <w:vAlign w:val="center"/>
          </w:tcPr>
          <w:p w14:paraId="3C0AB0F5" w14:textId="77777777" w:rsidR="0037587E" w:rsidRPr="00D613A6" w:rsidRDefault="0037587E" w:rsidP="0037587E">
            <w:pPr>
              <w:pStyle w:val="Pamatteksts1"/>
              <w:spacing w:before="40" w:after="40"/>
              <w:ind w:firstLine="0"/>
              <w:rPr>
                <w:b/>
                <w:color w:val="17365D"/>
                <w:sz w:val="20"/>
                <w:szCs w:val="20"/>
              </w:rPr>
            </w:pPr>
            <w:r w:rsidRPr="00D613A6">
              <w:rPr>
                <w:b/>
                <w:bCs/>
                <w:color w:val="17365D"/>
                <w:sz w:val="20"/>
                <w:szCs w:val="20"/>
              </w:rPr>
              <w:t>IZDEVUMI</w:t>
            </w:r>
          </w:p>
        </w:tc>
        <w:tc>
          <w:tcPr>
            <w:tcW w:w="1475" w:type="dxa"/>
            <w:tcBorders>
              <w:top w:val="single" w:sz="4" w:space="0" w:color="17365D"/>
              <w:left w:val="nil"/>
              <w:bottom w:val="single" w:sz="4" w:space="0" w:color="17365D"/>
              <w:right w:val="nil"/>
            </w:tcBorders>
            <w:shd w:val="clear" w:color="000000" w:fill="FFFFFF"/>
            <w:vAlign w:val="center"/>
          </w:tcPr>
          <w:p w14:paraId="01336E44" w14:textId="020DF20B"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4 311 889 562</w:t>
            </w:r>
          </w:p>
        </w:tc>
        <w:tc>
          <w:tcPr>
            <w:tcW w:w="1475" w:type="dxa"/>
            <w:tcBorders>
              <w:top w:val="single" w:sz="4" w:space="0" w:color="17365D"/>
              <w:left w:val="nil"/>
              <w:bottom w:val="single" w:sz="4" w:space="0" w:color="17365D"/>
              <w:right w:val="nil"/>
            </w:tcBorders>
            <w:shd w:val="clear" w:color="auto" w:fill="auto"/>
            <w:vAlign w:val="center"/>
          </w:tcPr>
          <w:p w14:paraId="2D19D037" w14:textId="559C77CA"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3 988 266 407</w:t>
            </w:r>
          </w:p>
        </w:tc>
        <w:tc>
          <w:tcPr>
            <w:tcW w:w="1624" w:type="dxa"/>
            <w:tcBorders>
              <w:top w:val="single" w:sz="4" w:space="0" w:color="17365D"/>
              <w:left w:val="nil"/>
              <w:bottom w:val="single" w:sz="4" w:space="0" w:color="17365D"/>
              <w:right w:val="nil"/>
            </w:tcBorders>
            <w:shd w:val="clear" w:color="000000" w:fill="FFFFFF"/>
            <w:vAlign w:val="center"/>
          </w:tcPr>
          <w:p w14:paraId="52559995" w14:textId="2B82BEED" w:rsidR="0037587E" w:rsidRPr="00D613A6" w:rsidRDefault="00585C76" w:rsidP="00585C76">
            <w:pPr>
              <w:pStyle w:val="Pamatteksts1"/>
              <w:spacing w:before="60" w:after="60"/>
              <w:ind w:left="-107" w:right="-105" w:firstLine="0"/>
              <w:jc w:val="right"/>
              <w:rPr>
                <w:b/>
                <w:color w:val="17365D"/>
                <w:sz w:val="20"/>
                <w:szCs w:val="20"/>
              </w:rPr>
            </w:pPr>
            <w:r w:rsidRPr="00D613A6">
              <w:rPr>
                <w:b/>
                <w:color w:val="17365D"/>
                <w:sz w:val="20"/>
                <w:szCs w:val="20"/>
              </w:rPr>
              <w:t>323</w:t>
            </w:r>
            <w:r w:rsidR="0037587E" w:rsidRPr="00D613A6">
              <w:rPr>
                <w:b/>
                <w:color w:val="17365D"/>
                <w:sz w:val="20"/>
                <w:szCs w:val="20"/>
              </w:rPr>
              <w:t xml:space="preserve"> 6</w:t>
            </w:r>
            <w:r w:rsidRPr="00D613A6">
              <w:rPr>
                <w:b/>
                <w:color w:val="17365D"/>
                <w:sz w:val="20"/>
                <w:szCs w:val="20"/>
              </w:rPr>
              <w:t>23 155</w:t>
            </w:r>
          </w:p>
        </w:tc>
        <w:tc>
          <w:tcPr>
            <w:tcW w:w="1327" w:type="dxa"/>
            <w:tcBorders>
              <w:top w:val="single" w:sz="4" w:space="0" w:color="17365D"/>
              <w:left w:val="nil"/>
              <w:bottom w:val="single" w:sz="4" w:space="0" w:color="17365D"/>
              <w:right w:val="nil"/>
            </w:tcBorders>
            <w:shd w:val="clear" w:color="000000" w:fill="FFFFFF"/>
            <w:vAlign w:val="center"/>
          </w:tcPr>
          <w:p w14:paraId="38F1D909" w14:textId="7E6669F2" w:rsidR="0037587E" w:rsidRPr="00D613A6" w:rsidRDefault="00585C76" w:rsidP="0037587E">
            <w:pPr>
              <w:pStyle w:val="Pamatteksts1"/>
              <w:spacing w:before="40" w:after="40"/>
              <w:ind w:firstLine="0"/>
              <w:jc w:val="right"/>
              <w:rPr>
                <w:b/>
                <w:color w:val="17365D"/>
                <w:sz w:val="20"/>
                <w:szCs w:val="20"/>
              </w:rPr>
            </w:pPr>
            <w:r w:rsidRPr="00D613A6">
              <w:rPr>
                <w:b/>
                <w:color w:val="17365D"/>
                <w:sz w:val="20"/>
                <w:szCs w:val="20"/>
              </w:rPr>
              <w:t>8</w:t>
            </w:r>
            <w:r w:rsidR="0037587E" w:rsidRPr="00D613A6">
              <w:rPr>
                <w:b/>
                <w:color w:val="17365D"/>
                <w:sz w:val="20"/>
                <w:szCs w:val="20"/>
              </w:rPr>
              <w:t>.1</w:t>
            </w:r>
            <w:r w:rsidRPr="00D613A6">
              <w:rPr>
                <w:b/>
                <w:color w:val="17365D"/>
                <w:sz w:val="20"/>
                <w:szCs w:val="20"/>
              </w:rPr>
              <w:t>1</w:t>
            </w:r>
          </w:p>
        </w:tc>
      </w:tr>
      <w:tr w:rsidR="00D613A6" w:rsidRPr="00D613A6" w14:paraId="2F72779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39F1A75" w14:textId="77777777" w:rsidR="0037587E" w:rsidRPr="00D613A6" w:rsidRDefault="0037587E" w:rsidP="0037587E">
            <w:pPr>
              <w:spacing w:before="40" w:after="40"/>
              <w:ind w:firstLine="0"/>
              <w:jc w:val="left"/>
              <w:rPr>
                <w:b/>
                <w:bCs/>
                <w:color w:val="17365D"/>
                <w:sz w:val="20"/>
                <w:szCs w:val="20"/>
              </w:rPr>
            </w:pPr>
            <w:r w:rsidRPr="00D613A6">
              <w:rPr>
                <w:b/>
                <w:bCs/>
                <w:color w:val="17365D"/>
                <w:sz w:val="20"/>
                <w:szCs w:val="20"/>
              </w:rPr>
              <w:t>1.0.</w:t>
            </w:r>
          </w:p>
        </w:tc>
        <w:tc>
          <w:tcPr>
            <w:tcW w:w="2575" w:type="dxa"/>
            <w:tcBorders>
              <w:top w:val="single" w:sz="4" w:space="0" w:color="17365D"/>
              <w:left w:val="nil"/>
              <w:bottom w:val="single" w:sz="4" w:space="0" w:color="17365D"/>
              <w:right w:val="nil"/>
            </w:tcBorders>
            <w:shd w:val="clear" w:color="000000" w:fill="FFFFFF"/>
            <w:vAlign w:val="center"/>
          </w:tcPr>
          <w:p w14:paraId="79C6D936" w14:textId="77777777" w:rsidR="0037587E" w:rsidRPr="00D613A6" w:rsidRDefault="0037587E" w:rsidP="0037587E">
            <w:pPr>
              <w:pStyle w:val="Pamatteksts1"/>
              <w:spacing w:before="40" w:after="40"/>
              <w:ind w:firstLine="0"/>
              <w:rPr>
                <w:b/>
                <w:color w:val="17365D"/>
                <w:sz w:val="20"/>
                <w:szCs w:val="20"/>
              </w:rPr>
            </w:pPr>
            <w:r w:rsidRPr="00D613A6">
              <w:rPr>
                <w:b/>
                <w:bCs/>
                <w:color w:val="17365D"/>
                <w:sz w:val="20"/>
                <w:szCs w:val="20"/>
              </w:rPr>
              <w:t>Uzturēšanas izdevumi</w:t>
            </w:r>
          </w:p>
        </w:tc>
        <w:tc>
          <w:tcPr>
            <w:tcW w:w="1475" w:type="dxa"/>
            <w:tcBorders>
              <w:top w:val="single" w:sz="4" w:space="0" w:color="17365D"/>
              <w:left w:val="nil"/>
              <w:bottom w:val="single" w:sz="4" w:space="0" w:color="17365D"/>
              <w:right w:val="nil"/>
            </w:tcBorders>
            <w:shd w:val="clear" w:color="000000" w:fill="FFFFFF"/>
            <w:vAlign w:val="center"/>
          </w:tcPr>
          <w:p w14:paraId="5C87DD3C" w14:textId="7CD71948"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4 310 435 825</w:t>
            </w:r>
          </w:p>
        </w:tc>
        <w:tc>
          <w:tcPr>
            <w:tcW w:w="1475" w:type="dxa"/>
            <w:tcBorders>
              <w:top w:val="single" w:sz="4" w:space="0" w:color="17365D"/>
              <w:left w:val="nil"/>
              <w:bottom w:val="single" w:sz="4" w:space="0" w:color="17365D"/>
              <w:right w:val="nil"/>
            </w:tcBorders>
            <w:shd w:val="clear" w:color="auto" w:fill="auto"/>
            <w:vAlign w:val="center"/>
          </w:tcPr>
          <w:p w14:paraId="633F20EF" w14:textId="651C6DBB"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3 986 444 435</w:t>
            </w:r>
          </w:p>
        </w:tc>
        <w:tc>
          <w:tcPr>
            <w:tcW w:w="1624" w:type="dxa"/>
            <w:tcBorders>
              <w:top w:val="single" w:sz="4" w:space="0" w:color="17365D"/>
              <w:left w:val="nil"/>
              <w:bottom w:val="single" w:sz="4" w:space="0" w:color="17365D"/>
              <w:right w:val="nil"/>
            </w:tcBorders>
            <w:shd w:val="clear" w:color="000000" w:fill="FFFFFF"/>
            <w:vAlign w:val="center"/>
          </w:tcPr>
          <w:p w14:paraId="07DF5E60" w14:textId="1B5B0890" w:rsidR="0037587E" w:rsidRPr="00D613A6" w:rsidRDefault="00585C76" w:rsidP="00585C76">
            <w:pPr>
              <w:pStyle w:val="Pamatteksts1"/>
              <w:spacing w:before="60" w:after="60"/>
              <w:ind w:left="-107" w:right="-105" w:firstLine="0"/>
              <w:jc w:val="right"/>
              <w:rPr>
                <w:b/>
                <w:color w:val="17365D"/>
                <w:sz w:val="20"/>
                <w:szCs w:val="20"/>
              </w:rPr>
            </w:pPr>
            <w:r w:rsidRPr="00D613A6">
              <w:rPr>
                <w:b/>
                <w:color w:val="17365D"/>
                <w:sz w:val="20"/>
                <w:szCs w:val="20"/>
              </w:rPr>
              <w:t>323</w:t>
            </w:r>
            <w:r w:rsidR="0037587E" w:rsidRPr="00D613A6">
              <w:rPr>
                <w:b/>
                <w:color w:val="17365D"/>
                <w:sz w:val="20"/>
                <w:szCs w:val="20"/>
              </w:rPr>
              <w:t xml:space="preserve"> </w:t>
            </w:r>
            <w:r w:rsidRPr="00D613A6">
              <w:rPr>
                <w:b/>
                <w:color w:val="17365D"/>
                <w:sz w:val="20"/>
                <w:szCs w:val="20"/>
              </w:rPr>
              <w:t>991</w:t>
            </w:r>
            <w:r w:rsidR="0037587E" w:rsidRPr="00D613A6">
              <w:rPr>
                <w:b/>
                <w:color w:val="17365D"/>
                <w:sz w:val="20"/>
                <w:szCs w:val="20"/>
              </w:rPr>
              <w:t xml:space="preserve"> </w:t>
            </w:r>
            <w:r w:rsidRPr="00D613A6">
              <w:rPr>
                <w:b/>
                <w:color w:val="17365D"/>
                <w:sz w:val="20"/>
                <w:szCs w:val="20"/>
              </w:rPr>
              <w:t>390</w:t>
            </w:r>
          </w:p>
        </w:tc>
        <w:tc>
          <w:tcPr>
            <w:tcW w:w="1327" w:type="dxa"/>
            <w:tcBorders>
              <w:top w:val="single" w:sz="4" w:space="0" w:color="17365D"/>
              <w:left w:val="nil"/>
              <w:bottom w:val="single" w:sz="4" w:space="0" w:color="17365D"/>
              <w:right w:val="nil"/>
            </w:tcBorders>
            <w:shd w:val="clear" w:color="000000" w:fill="FFFFFF"/>
            <w:vAlign w:val="center"/>
          </w:tcPr>
          <w:p w14:paraId="1F342B6B" w14:textId="734169C9" w:rsidR="0037587E" w:rsidRPr="00D613A6" w:rsidRDefault="00585C76" w:rsidP="0037587E">
            <w:pPr>
              <w:pStyle w:val="Pamatteksts1"/>
              <w:spacing w:before="40" w:after="40"/>
              <w:ind w:firstLine="0"/>
              <w:jc w:val="right"/>
              <w:rPr>
                <w:b/>
                <w:color w:val="17365D"/>
                <w:sz w:val="20"/>
                <w:szCs w:val="20"/>
              </w:rPr>
            </w:pPr>
            <w:r w:rsidRPr="00D613A6">
              <w:rPr>
                <w:b/>
                <w:color w:val="17365D"/>
                <w:sz w:val="20"/>
                <w:szCs w:val="20"/>
              </w:rPr>
              <w:t>8</w:t>
            </w:r>
            <w:r w:rsidR="0037587E" w:rsidRPr="00D613A6">
              <w:rPr>
                <w:b/>
                <w:color w:val="17365D"/>
                <w:sz w:val="20"/>
                <w:szCs w:val="20"/>
              </w:rPr>
              <w:t>.1</w:t>
            </w:r>
            <w:r w:rsidRPr="00D613A6">
              <w:rPr>
                <w:b/>
                <w:color w:val="17365D"/>
                <w:sz w:val="20"/>
                <w:szCs w:val="20"/>
              </w:rPr>
              <w:t>3</w:t>
            </w:r>
          </w:p>
        </w:tc>
      </w:tr>
      <w:tr w:rsidR="00D613A6" w:rsidRPr="00D613A6" w14:paraId="0017CAB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5562E63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1.1.</w:t>
            </w:r>
          </w:p>
        </w:tc>
        <w:tc>
          <w:tcPr>
            <w:tcW w:w="2575" w:type="dxa"/>
            <w:tcBorders>
              <w:top w:val="single" w:sz="4" w:space="0" w:color="17365D"/>
              <w:left w:val="nil"/>
              <w:bottom w:val="single" w:sz="4" w:space="0" w:color="17365D"/>
              <w:right w:val="nil"/>
            </w:tcBorders>
            <w:shd w:val="clear" w:color="000000" w:fill="FFFFFF"/>
            <w:vAlign w:val="center"/>
          </w:tcPr>
          <w:p w14:paraId="4E27EB88" w14:textId="77777777" w:rsidR="0037587E" w:rsidRPr="00D613A6" w:rsidRDefault="0037587E" w:rsidP="0037587E">
            <w:pPr>
              <w:pStyle w:val="Pamatteksts1"/>
              <w:spacing w:before="40" w:after="40"/>
              <w:ind w:firstLine="0"/>
              <w:rPr>
                <w:color w:val="17365D"/>
                <w:sz w:val="20"/>
                <w:szCs w:val="20"/>
              </w:rPr>
            </w:pPr>
            <w:r w:rsidRPr="00D613A6">
              <w:rPr>
                <w:bCs/>
                <w:color w:val="17365D"/>
                <w:sz w:val="20"/>
                <w:szCs w:val="20"/>
              </w:rPr>
              <w:t>Kārtējie izdevumi</w:t>
            </w:r>
          </w:p>
        </w:tc>
        <w:tc>
          <w:tcPr>
            <w:tcW w:w="1475" w:type="dxa"/>
            <w:tcBorders>
              <w:top w:val="single" w:sz="4" w:space="0" w:color="17365D"/>
              <w:left w:val="nil"/>
              <w:bottom w:val="single" w:sz="4" w:space="0" w:color="17365D"/>
              <w:right w:val="nil"/>
            </w:tcBorders>
            <w:shd w:val="clear" w:color="000000" w:fill="FFFFFF"/>
            <w:vAlign w:val="center"/>
          </w:tcPr>
          <w:p w14:paraId="6C83A8C7" w14:textId="6BCC7FF2"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28 020 768</w:t>
            </w:r>
          </w:p>
        </w:tc>
        <w:tc>
          <w:tcPr>
            <w:tcW w:w="1475" w:type="dxa"/>
            <w:tcBorders>
              <w:top w:val="single" w:sz="4" w:space="0" w:color="17365D"/>
              <w:left w:val="nil"/>
              <w:bottom w:val="single" w:sz="4" w:space="0" w:color="17365D"/>
              <w:right w:val="nil"/>
            </w:tcBorders>
            <w:shd w:val="clear" w:color="auto" w:fill="auto"/>
            <w:vAlign w:val="center"/>
          </w:tcPr>
          <w:p w14:paraId="11EEDB79" w14:textId="3F82F799"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27 487 758</w:t>
            </w:r>
          </w:p>
        </w:tc>
        <w:tc>
          <w:tcPr>
            <w:tcW w:w="1624" w:type="dxa"/>
            <w:tcBorders>
              <w:top w:val="single" w:sz="4" w:space="0" w:color="17365D"/>
              <w:left w:val="nil"/>
              <w:bottom w:val="single" w:sz="4" w:space="0" w:color="17365D"/>
              <w:right w:val="nil"/>
            </w:tcBorders>
            <w:shd w:val="clear" w:color="000000" w:fill="FFFFFF"/>
            <w:vAlign w:val="center"/>
          </w:tcPr>
          <w:p w14:paraId="13666A21" w14:textId="206EFF6F" w:rsidR="0037587E" w:rsidRPr="00D613A6" w:rsidRDefault="0037587E" w:rsidP="00585C76">
            <w:pPr>
              <w:pStyle w:val="Pamatteksts1"/>
              <w:spacing w:before="60" w:after="60"/>
              <w:ind w:left="-107" w:right="-105" w:firstLine="0"/>
              <w:jc w:val="right"/>
              <w:rPr>
                <w:color w:val="17365D"/>
                <w:sz w:val="20"/>
                <w:szCs w:val="20"/>
              </w:rPr>
            </w:pPr>
            <w:r w:rsidRPr="00D613A6">
              <w:rPr>
                <w:color w:val="17365D"/>
                <w:sz w:val="20"/>
                <w:szCs w:val="20"/>
              </w:rPr>
              <w:t xml:space="preserve"> </w:t>
            </w:r>
            <w:r w:rsidR="00585C76" w:rsidRPr="00D613A6">
              <w:rPr>
                <w:color w:val="17365D"/>
                <w:sz w:val="20"/>
                <w:szCs w:val="20"/>
              </w:rPr>
              <w:t>533</w:t>
            </w:r>
            <w:r w:rsidRPr="00D613A6">
              <w:rPr>
                <w:color w:val="17365D"/>
                <w:sz w:val="20"/>
                <w:szCs w:val="20"/>
              </w:rPr>
              <w:t xml:space="preserve"> 0</w:t>
            </w:r>
            <w:r w:rsidR="00585C76" w:rsidRPr="00D613A6">
              <w:rPr>
                <w:color w:val="17365D"/>
                <w:sz w:val="20"/>
                <w:szCs w:val="20"/>
              </w:rPr>
              <w:t>10</w:t>
            </w:r>
          </w:p>
        </w:tc>
        <w:tc>
          <w:tcPr>
            <w:tcW w:w="1327" w:type="dxa"/>
            <w:tcBorders>
              <w:top w:val="single" w:sz="4" w:space="0" w:color="17365D"/>
              <w:left w:val="nil"/>
              <w:bottom w:val="single" w:sz="4" w:space="0" w:color="17365D"/>
              <w:right w:val="nil"/>
            </w:tcBorders>
            <w:shd w:val="clear" w:color="000000" w:fill="FFFFFF"/>
            <w:vAlign w:val="center"/>
          </w:tcPr>
          <w:p w14:paraId="5B023E2A" w14:textId="7972173A"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1.94</w:t>
            </w:r>
          </w:p>
        </w:tc>
      </w:tr>
      <w:tr w:rsidR="00D613A6" w:rsidRPr="00D613A6" w14:paraId="17A761ED"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2BC8B92E"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1.3.</w:t>
            </w:r>
          </w:p>
        </w:tc>
        <w:tc>
          <w:tcPr>
            <w:tcW w:w="2575" w:type="dxa"/>
            <w:tcBorders>
              <w:top w:val="single" w:sz="4" w:space="0" w:color="17365D"/>
              <w:left w:val="nil"/>
              <w:bottom w:val="single" w:sz="4" w:space="0" w:color="17365D"/>
              <w:right w:val="nil"/>
            </w:tcBorders>
            <w:shd w:val="clear" w:color="000000" w:fill="FFFFFF"/>
            <w:vAlign w:val="center"/>
          </w:tcPr>
          <w:p w14:paraId="4E74E65D" w14:textId="79491239" w:rsidR="0037587E" w:rsidRPr="00D613A6" w:rsidRDefault="00427E2E" w:rsidP="0037587E">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75" w:type="dxa"/>
            <w:tcBorders>
              <w:top w:val="single" w:sz="4" w:space="0" w:color="17365D"/>
              <w:left w:val="nil"/>
              <w:bottom w:val="single" w:sz="4" w:space="0" w:color="17365D"/>
              <w:right w:val="nil"/>
            </w:tcBorders>
            <w:shd w:val="clear" w:color="000000" w:fill="FFFFFF"/>
            <w:vAlign w:val="center"/>
          </w:tcPr>
          <w:p w14:paraId="75B65E4A" w14:textId="1D1A9F03"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4 279 939 356</w:t>
            </w:r>
          </w:p>
        </w:tc>
        <w:tc>
          <w:tcPr>
            <w:tcW w:w="1475" w:type="dxa"/>
            <w:tcBorders>
              <w:top w:val="single" w:sz="4" w:space="0" w:color="17365D"/>
              <w:left w:val="nil"/>
              <w:bottom w:val="single" w:sz="4" w:space="0" w:color="17365D"/>
              <w:right w:val="nil"/>
            </w:tcBorders>
            <w:shd w:val="clear" w:color="auto" w:fill="auto"/>
            <w:vAlign w:val="center"/>
          </w:tcPr>
          <w:p w14:paraId="704C3B49" w14:textId="1E36F683"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3 956 182 435</w:t>
            </w:r>
          </w:p>
        </w:tc>
        <w:tc>
          <w:tcPr>
            <w:tcW w:w="1624" w:type="dxa"/>
            <w:tcBorders>
              <w:top w:val="single" w:sz="4" w:space="0" w:color="17365D"/>
              <w:left w:val="nil"/>
              <w:bottom w:val="single" w:sz="4" w:space="0" w:color="17365D"/>
              <w:right w:val="nil"/>
            </w:tcBorders>
            <w:shd w:val="clear" w:color="000000" w:fill="FFFFFF"/>
            <w:vAlign w:val="center"/>
          </w:tcPr>
          <w:p w14:paraId="378B49D8" w14:textId="396CF01E"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323</w:t>
            </w:r>
            <w:r w:rsidR="0037587E" w:rsidRPr="00D613A6">
              <w:rPr>
                <w:color w:val="17365D"/>
                <w:sz w:val="20"/>
                <w:szCs w:val="20"/>
              </w:rPr>
              <w:t xml:space="preserve"> </w:t>
            </w:r>
            <w:r w:rsidRPr="00D613A6">
              <w:rPr>
                <w:color w:val="17365D"/>
                <w:sz w:val="20"/>
                <w:szCs w:val="20"/>
              </w:rPr>
              <w:t>756</w:t>
            </w:r>
            <w:r w:rsidR="0037587E" w:rsidRPr="00D613A6">
              <w:rPr>
                <w:color w:val="17365D"/>
                <w:sz w:val="20"/>
                <w:szCs w:val="20"/>
              </w:rPr>
              <w:t xml:space="preserve"> </w:t>
            </w:r>
            <w:r w:rsidRPr="00D613A6">
              <w:rPr>
                <w:color w:val="17365D"/>
                <w:sz w:val="20"/>
                <w:szCs w:val="20"/>
              </w:rPr>
              <w:t>921</w:t>
            </w:r>
          </w:p>
        </w:tc>
        <w:tc>
          <w:tcPr>
            <w:tcW w:w="1327" w:type="dxa"/>
            <w:tcBorders>
              <w:top w:val="single" w:sz="4" w:space="0" w:color="17365D"/>
              <w:left w:val="nil"/>
              <w:bottom w:val="single" w:sz="4" w:space="0" w:color="17365D"/>
              <w:right w:val="nil"/>
            </w:tcBorders>
            <w:shd w:val="clear" w:color="000000" w:fill="FFFFFF"/>
            <w:vAlign w:val="center"/>
          </w:tcPr>
          <w:p w14:paraId="759CB3B7" w14:textId="702F7B72"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8</w:t>
            </w:r>
            <w:r w:rsidR="0037587E" w:rsidRPr="00D613A6">
              <w:rPr>
                <w:color w:val="17365D"/>
                <w:sz w:val="20"/>
                <w:szCs w:val="20"/>
              </w:rPr>
              <w:t>.1</w:t>
            </w:r>
            <w:r w:rsidRPr="00D613A6">
              <w:rPr>
                <w:color w:val="17365D"/>
                <w:sz w:val="20"/>
                <w:szCs w:val="20"/>
              </w:rPr>
              <w:t>8</w:t>
            </w:r>
          </w:p>
        </w:tc>
      </w:tr>
      <w:tr w:rsidR="00D613A6" w:rsidRPr="00D613A6" w14:paraId="4E86154B"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B64910D"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7000</w:t>
            </w:r>
          </w:p>
        </w:tc>
        <w:tc>
          <w:tcPr>
            <w:tcW w:w="2575" w:type="dxa"/>
            <w:tcBorders>
              <w:top w:val="single" w:sz="4" w:space="0" w:color="17365D"/>
              <w:left w:val="nil"/>
              <w:bottom w:val="single" w:sz="4" w:space="0" w:color="17365D"/>
              <w:right w:val="nil"/>
            </w:tcBorders>
            <w:shd w:val="clear" w:color="000000" w:fill="FFFFFF"/>
            <w:vAlign w:val="center"/>
          </w:tcPr>
          <w:p w14:paraId="2C1D4BE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resursu maksājumi, starptautiskā sadarbība </w:t>
            </w:r>
          </w:p>
        </w:tc>
        <w:tc>
          <w:tcPr>
            <w:tcW w:w="1475" w:type="dxa"/>
            <w:tcBorders>
              <w:top w:val="single" w:sz="4" w:space="0" w:color="17365D"/>
              <w:left w:val="nil"/>
              <w:bottom w:val="single" w:sz="4" w:space="0" w:color="17365D"/>
              <w:right w:val="nil"/>
            </w:tcBorders>
            <w:shd w:val="clear" w:color="000000" w:fill="FFFFFF"/>
            <w:vAlign w:val="center"/>
          </w:tcPr>
          <w:p w14:paraId="7AF6C9BE" w14:textId="6725EB1A"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2 475 701</w:t>
            </w:r>
          </w:p>
        </w:tc>
        <w:tc>
          <w:tcPr>
            <w:tcW w:w="1475" w:type="dxa"/>
            <w:tcBorders>
              <w:top w:val="single" w:sz="4" w:space="0" w:color="17365D"/>
              <w:left w:val="nil"/>
              <w:bottom w:val="single" w:sz="4" w:space="0" w:color="17365D"/>
              <w:right w:val="nil"/>
            </w:tcBorders>
            <w:shd w:val="clear" w:color="auto" w:fill="auto"/>
            <w:vAlign w:val="center"/>
          </w:tcPr>
          <w:p w14:paraId="68A66785" w14:textId="1B1FCE9B"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2 774 242</w:t>
            </w:r>
          </w:p>
        </w:tc>
        <w:tc>
          <w:tcPr>
            <w:tcW w:w="1624" w:type="dxa"/>
            <w:tcBorders>
              <w:top w:val="single" w:sz="4" w:space="0" w:color="17365D"/>
              <w:left w:val="nil"/>
              <w:bottom w:val="single" w:sz="4" w:space="0" w:color="17365D"/>
              <w:right w:val="nil"/>
            </w:tcBorders>
            <w:shd w:val="clear" w:color="000000" w:fill="FFFFFF"/>
            <w:vAlign w:val="center"/>
          </w:tcPr>
          <w:p w14:paraId="52DE4FED" w14:textId="1FCAE677"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-298</w:t>
            </w:r>
            <w:r w:rsidR="0037587E" w:rsidRPr="00D613A6">
              <w:rPr>
                <w:color w:val="17365D"/>
                <w:sz w:val="20"/>
                <w:szCs w:val="20"/>
              </w:rPr>
              <w:t xml:space="preserve"> </w:t>
            </w:r>
            <w:r w:rsidRPr="00D613A6">
              <w:rPr>
                <w:color w:val="17365D"/>
                <w:sz w:val="20"/>
                <w:szCs w:val="20"/>
              </w:rPr>
              <w:t>541</w:t>
            </w:r>
          </w:p>
        </w:tc>
        <w:tc>
          <w:tcPr>
            <w:tcW w:w="1327" w:type="dxa"/>
            <w:tcBorders>
              <w:top w:val="single" w:sz="4" w:space="0" w:color="17365D"/>
              <w:left w:val="nil"/>
              <w:bottom w:val="single" w:sz="4" w:space="0" w:color="17365D"/>
              <w:right w:val="nil"/>
            </w:tcBorders>
            <w:shd w:val="clear" w:color="000000" w:fill="FFFFFF"/>
            <w:vAlign w:val="center"/>
          </w:tcPr>
          <w:p w14:paraId="35AD258B" w14:textId="5D26FEAF"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w:t>
            </w:r>
            <w:r w:rsidR="00585C76" w:rsidRPr="00D613A6">
              <w:rPr>
                <w:color w:val="17365D"/>
                <w:sz w:val="20"/>
                <w:szCs w:val="20"/>
              </w:rPr>
              <w:t>10.76</w:t>
            </w:r>
          </w:p>
        </w:tc>
      </w:tr>
      <w:tr w:rsidR="00D613A6" w:rsidRPr="00D613A6" w14:paraId="5567C5C4"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8EBC93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1.4.</w:t>
            </w:r>
          </w:p>
        </w:tc>
        <w:tc>
          <w:tcPr>
            <w:tcW w:w="2575" w:type="dxa"/>
            <w:tcBorders>
              <w:top w:val="single" w:sz="4" w:space="0" w:color="17365D"/>
              <w:left w:val="nil"/>
              <w:bottom w:val="single" w:sz="4" w:space="0" w:color="17365D"/>
              <w:right w:val="nil"/>
            </w:tcBorders>
            <w:shd w:val="clear" w:color="000000" w:fill="FFFFFF"/>
            <w:vAlign w:val="center"/>
          </w:tcPr>
          <w:p w14:paraId="5894380C"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75" w:type="dxa"/>
            <w:tcBorders>
              <w:top w:val="single" w:sz="4" w:space="0" w:color="17365D"/>
              <w:left w:val="nil"/>
              <w:bottom w:val="single" w:sz="4" w:space="0" w:color="17365D"/>
              <w:right w:val="nil"/>
            </w:tcBorders>
            <w:shd w:val="clear" w:color="000000" w:fill="FFFFFF"/>
            <w:vAlign w:val="center"/>
          </w:tcPr>
          <w:p w14:paraId="49370D1C" w14:textId="7548FF34"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22 041</w:t>
            </w:r>
          </w:p>
        </w:tc>
        <w:tc>
          <w:tcPr>
            <w:tcW w:w="1475" w:type="dxa"/>
            <w:tcBorders>
              <w:top w:val="single" w:sz="4" w:space="0" w:color="17365D"/>
              <w:left w:val="nil"/>
              <w:bottom w:val="single" w:sz="4" w:space="0" w:color="17365D"/>
              <w:right w:val="nil"/>
            </w:tcBorders>
            <w:shd w:val="clear" w:color="auto" w:fill="auto"/>
            <w:vAlign w:val="center"/>
          </w:tcPr>
          <w:p w14:paraId="5FFEC276" w14:textId="4865E5CF"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21 281</w:t>
            </w:r>
          </w:p>
        </w:tc>
        <w:tc>
          <w:tcPr>
            <w:tcW w:w="1624" w:type="dxa"/>
            <w:tcBorders>
              <w:top w:val="single" w:sz="4" w:space="0" w:color="17365D"/>
              <w:left w:val="nil"/>
              <w:bottom w:val="single" w:sz="4" w:space="0" w:color="17365D"/>
              <w:right w:val="nil"/>
            </w:tcBorders>
            <w:shd w:val="clear" w:color="000000" w:fill="FFFFFF"/>
            <w:vAlign w:val="center"/>
          </w:tcPr>
          <w:p w14:paraId="4B771A29" w14:textId="70C0DA84" w:rsidR="0037587E" w:rsidRPr="00D613A6" w:rsidRDefault="00585C76" w:rsidP="0037587E">
            <w:pPr>
              <w:pStyle w:val="Pamatteksts1"/>
              <w:spacing w:before="60" w:after="60"/>
              <w:ind w:left="-107" w:right="-105" w:firstLine="0"/>
              <w:jc w:val="right"/>
              <w:rPr>
                <w:color w:val="17365D"/>
                <w:sz w:val="20"/>
                <w:szCs w:val="20"/>
              </w:rPr>
            </w:pPr>
            <w:r w:rsidRPr="00D613A6">
              <w:rPr>
                <w:color w:val="17365D"/>
                <w:sz w:val="20"/>
                <w:szCs w:val="20"/>
              </w:rPr>
              <w:t>760</w:t>
            </w:r>
          </w:p>
        </w:tc>
        <w:tc>
          <w:tcPr>
            <w:tcW w:w="1327" w:type="dxa"/>
            <w:tcBorders>
              <w:top w:val="single" w:sz="4" w:space="0" w:color="17365D"/>
              <w:left w:val="nil"/>
              <w:bottom w:val="single" w:sz="4" w:space="0" w:color="17365D"/>
              <w:right w:val="nil"/>
            </w:tcBorders>
            <w:shd w:val="clear" w:color="000000" w:fill="FFFFFF"/>
            <w:vAlign w:val="center"/>
          </w:tcPr>
          <w:p w14:paraId="333362F3" w14:textId="44EB8A26"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3.57</w:t>
            </w:r>
          </w:p>
        </w:tc>
      </w:tr>
      <w:tr w:rsidR="00D613A6" w:rsidRPr="00D613A6" w14:paraId="57A6F3A3"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91AC09B"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1.5.</w:t>
            </w:r>
          </w:p>
        </w:tc>
        <w:tc>
          <w:tcPr>
            <w:tcW w:w="2575" w:type="dxa"/>
            <w:tcBorders>
              <w:top w:val="single" w:sz="4" w:space="0" w:color="17365D"/>
              <w:left w:val="nil"/>
              <w:bottom w:val="single" w:sz="4" w:space="0" w:color="17365D"/>
              <w:right w:val="nil"/>
            </w:tcBorders>
            <w:shd w:val="clear" w:color="000000" w:fill="FFFFFF"/>
            <w:vAlign w:val="center"/>
          </w:tcPr>
          <w:p w14:paraId="625BA9F6"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 xml:space="preserve">Transferti viena budžeta veida ietvaros un uzturēšanas izdevumu transferti starp budžeta veidiem </w:t>
            </w:r>
          </w:p>
        </w:tc>
        <w:tc>
          <w:tcPr>
            <w:tcW w:w="1475" w:type="dxa"/>
            <w:tcBorders>
              <w:top w:val="single" w:sz="4" w:space="0" w:color="17365D"/>
              <w:left w:val="nil"/>
              <w:bottom w:val="single" w:sz="4" w:space="0" w:color="17365D"/>
              <w:right w:val="nil"/>
            </w:tcBorders>
            <w:shd w:val="clear" w:color="000000" w:fill="FFFFFF"/>
            <w:vAlign w:val="center"/>
          </w:tcPr>
          <w:p w14:paraId="71943049" w14:textId="3FA6A305"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2 453 660</w:t>
            </w:r>
          </w:p>
        </w:tc>
        <w:tc>
          <w:tcPr>
            <w:tcW w:w="1475" w:type="dxa"/>
            <w:tcBorders>
              <w:top w:val="single" w:sz="4" w:space="0" w:color="17365D"/>
              <w:left w:val="nil"/>
              <w:bottom w:val="single" w:sz="4" w:space="0" w:color="17365D"/>
              <w:right w:val="nil"/>
            </w:tcBorders>
            <w:shd w:val="clear" w:color="auto" w:fill="auto"/>
            <w:vAlign w:val="center"/>
          </w:tcPr>
          <w:p w14:paraId="5D0D4C44" w14:textId="69442BA6"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2 752 961</w:t>
            </w:r>
          </w:p>
        </w:tc>
        <w:tc>
          <w:tcPr>
            <w:tcW w:w="1624" w:type="dxa"/>
            <w:tcBorders>
              <w:top w:val="single" w:sz="4" w:space="0" w:color="17365D"/>
              <w:left w:val="nil"/>
              <w:bottom w:val="single" w:sz="4" w:space="0" w:color="17365D"/>
              <w:right w:val="nil"/>
            </w:tcBorders>
            <w:shd w:val="clear" w:color="000000" w:fill="FFFFFF"/>
            <w:vAlign w:val="center"/>
          </w:tcPr>
          <w:p w14:paraId="6233AE55" w14:textId="298007F3"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-299</w:t>
            </w:r>
            <w:r w:rsidR="0037587E" w:rsidRPr="00D613A6">
              <w:rPr>
                <w:color w:val="17365D"/>
                <w:sz w:val="20"/>
                <w:szCs w:val="20"/>
              </w:rPr>
              <w:t xml:space="preserve"> </w:t>
            </w:r>
            <w:r w:rsidRPr="00D613A6">
              <w:rPr>
                <w:color w:val="17365D"/>
                <w:sz w:val="20"/>
                <w:szCs w:val="20"/>
              </w:rPr>
              <w:t>301</w:t>
            </w:r>
          </w:p>
        </w:tc>
        <w:tc>
          <w:tcPr>
            <w:tcW w:w="1327" w:type="dxa"/>
            <w:tcBorders>
              <w:top w:val="single" w:sz="4" w:space="0" w:color="17365D"/>
              <w:left w:val="nil"/>
              <w:bottom w:val="single" w:sz="4" w:space="0" w:color="17365D"/>
              <w:right w:val="nil"/>
            </w:tcBorders>
            <w:shd w:val="clear" w:color="000000" w:fill="FFFFFF"/>
            <w:vAlign w:val="center"/>
          </w:tcPr>
          <w:p w14:paraId="73B3E6B7" w14:textId="420E05D7"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w:t>
            </w:r>
            <w:r w:rsidR="00585C76" w:rsidRPr="00D613A6">
              <w:rPr>
                <w:color w:val="17365D"/>
                <w:sz w:val="20"/>
                <w:szCs w:val="20"/>
              </w:rPr>
              <w:t>10.87</w:t>
            </w:r>
          </w:p>
        </w:tc>
      </w:tr>
      <w:tr w:rsidR="00D613A6" w:rsidRPr="00D613A6" w14:paraId="5BD2002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ADDA97A" w14:textId="77777777" w:rsidR="0037587E" w:rsidRPr="00D613A6" w:rsidRDefault="0037587E" w:rsidP="0037587E">
            <w:pPr>
              <w:pStyle w:val="Pamatteksts1"/>
              <w:spacing w:before="40" w:after="40"/>
              <w:ind w:firstLine="0"/>
              <w:jc w:val="left"/>
              <w:rPr>
                <w:b/>
                <w:color w:val="17365D"/>
                <w:sz w:val="20"/>
                <w:szCs w:val="20"/>
              </w:rPr>
            </w:pPr>
            <w:r w:rsidRPr="00D613A6">
              <w:rPr>
                <w:b/>
                <w:color w:val="17365D"/>
                <w:sz w:val="20"/>
                <w:szCs w:val="20"/>
              </w:rPr>
              <w:t>2.0.</w:t>
            </w:r>
          </w:p>
        </w:tc>
        <w:tc>
          <w:tcPr>
            <w:tcW w:w="2575" w:type="dxa"/>
            <w:tcBorders>
              <w:top w:val="single" w:sz="4" w:space="0" w:color="17365D"/>
              <w:left w:val="nil"/>
              <w:bottom w:val="single" w:sz="4" w:space="0" w:color="17365D"/>
              <w:right w:val="nil"/>
            </w:tcBorders>
            <w:shd w:val="clear" w:color="000000" w:fill="FFFFFF"/>
            <w:vAlign w:val="center"/>
          </w:tcPr>
          <w:p w14:paraId="64BB916C" w14:textId="77777777" w:rsidR="0037587E" w:rsidRPr="00D613A6" w:rsidRDefault="0037587E" w:rsidP="0037587E">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75" w:type="dxa"/>
            <w:tcBorders>
              <w:top w:val="single" w:sz="4" w:space="0" w:color="17365D"/>
              <w:left w:val="nil"/>
              <w:bottom w:val="single" w:sz="4" w:space="0" w:color="17365D"/>
              <w:right w:val="nil"/>
            </w:tcBorders>
            <w:shd w:val="clear" w:color="000000" w:fill="FFFFFF"/>
            <w:vAlign w:val="center"/>
          </w:tcPr>
          <w:p w14:paraId="0AC6CFDA" w14:textId="62CAE315" w:rsidR="0037587E" w:rsidRPr="00D613A6" w:rsidRDefault="0037587E" w:rsidP="00585C76">
            <w:pPr>
              <w:pStyle w:val="Pamatteksts1"/>
              <w:spacing w:before="40" w:after="40"/>
              <w:ind w:firstLine="0"/>
              <w:jc w:val="right"/>
              <w:rPr>
                <w:b/>
                <w:color w:val="17365D"/>
                <w:sz w:val="20"/>
                <w:szCs w:val="20"/>
              </w:rPr>
            </w:pPr>
            <w:r w:rsidRPr="00D613A6">
              <w:rPr>
                <w:b/>
                <w:color w:val="17365D"/>
                <w:sz w:val="20"/>
                <w:szCs w:val="20"/>
              </w:rPr>
              <w:t xml:space="preserve">1 </w:t>
            </w:r>
            <w:r w:rsidR="00585C76" w:rsidRPr="00D613A6">
              <w:rPr>
                <w:b/>
                <w:color w:val="17365D"/>
                <w:sz w:val="20"/>
                <w:szCs w:val="20"/>
              </w:rPr>
              <w:t>453</w:t>
            </w:r>
            <w:r w:rsidRPr="00D613A6">
              <w:rPr>
                <w:b/>
                <w:color w:val="17365D"/>
                <w:sz w:val="20"/>
                <w:szCs w:val="20"/>
              </w:rPr>
              <w:t xml:space="preserve"> </w:t>
            </w:r>
            <w:r w:rsidR="00585C76" w:rsidRPr="00D613A6">
              <w:rPr>
                <w:b/>
                <w:color w:val="17365D"/>
                <w:sz w:val="20"/>
                <w:szCs w:val="20"/>
              </w:rPr>
              <w:t>737</w:t>
            </w:r>
          </w:p>
        </w:tc>
        <w:tc>
          <w:tcPr>
            <w:tcW w:w="1475" w:type="dxa"/>
            <w:tcBorders>
              <w:top w:val="single" w:sz="4" w:space="0" w:color="17365D"/>
              <w:left w:val="nil"/>
              <w:bottom w:val="single" w:sz="4" w:space="0" w:color="17365D"/>
              <w:right w:val="nil"/>
            </w:tcBorders>
            <w:shd w:val="clear" w:color="auto" w:fill="auto"/>
            <w:vAlign w:val="center"/>
          </w:tcPr>
          <w:p w14:paraId="08209C17" w14:textId="24004B93"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1 821 972</w:t>
            </w:r>
          </w:p>
        </w:tc>
        <w:tc>
          <w:tcPr>
            <w:tcW w:w="1624" w:type="dxa"/>
            <w:tcBorders>
              <w:top w:val="single" w:sz="4" w:space="0" w:color="17365D"/>
              <w:left w:val="nil"/>
              <w:bottom w:val="single" w:sz="4" w:space="0" w:color="17365D"/>
              <w:right w:val="nil"/>
            </w:tcBorders>
            <w:shd w:val="clear" w:color="000000" w:fill="FFFFFF"/>
            <w:vAlign w:val="center"/>
          </w:tcPr>
          <w:p w14:paraId="6610D32E" w14:textId="6ADD3331" w:rsidR="0037587E" w:rsidRPr="00D613A6" w:rsidRDefault="0037587E" w:rsidP="00585C76">
            <w:pPr>
              <w:pStyle w:val="Pamatteksts1"/>
              <w:spacing w:before="60" w:after="60"/>
              <w:ind w:left="-107" w:right="-105" w:firstLine="0"/>
              <w:jc w:val="right"/>
              <w:rPr>
                <w:b/>
                <w:color w:val="17365D"/>
                <w:sz w:val="20"/>
                <w:szCs w:val="20"/>
              </w:rPr>
            </w:pPr>
            <w:r w:rsidRPr="00D613A6">
              <w:rPr>
                <w:b/>
                <w:color w:val="17365D"/>
                <w:sz w:val="20"/>
                <w:szCs w:val="20"/>
              </w:rPr>
              <w:t>-</w:t>
            </w:r>
            <w:r w:rsidR="00585C76" w:rsidRPr="00D613A6">
              <w:rPr>
                <w:b/>
                <w:color w:val="17365D"/>
                <w:sz w:val="20"/>
                <w:szCs w:val="20"/>
              </w:rPr>
              <w:t>368</w:t>
            </w:r>
            <w:r w:rsidRPr="00D613A6">
              <w:rPr>
                <w:b/>
                <w:color w:val="17365D"/>
                <w:sz w:val="20"/>
                <w:szCs w:val="20"/>
              </w:rPr>
              <w:t xml:space="preserve"> </w:t>
            </w:r>
            <w:r w:rsidR="00585C76" w:rsidRPr="00D613A6">
              <w:rPr>
                <w:b/>
                <w:color w:val="17365D"/>
                <w:sz w:val="20"/>
                <w:szCs w:val="20"/>
              </w:rPr>
              <w:t>235</w:t>
            </w:r>
          </w:p>
        </w:tc>
        <w:tc>
          <w:tcPr>
            <w:tcW w:w="1327" w:type="dxa"/>
            <w:tcBorders>
              <w:top w:val="single" w:sz="4" w:space="0" w:color="17365D"/>
              <w:left w:val="nil"/>
              <w:bottom w:val="single" w:sz="4" w:space="0" w:color="17365D"/>
              <w:right w:val="nil"/>
            </w:tcBorders>
            <w:shd w:val="clear" w:color="000000" w:fill="FFFFFF"/>
            <w:vAlign w:val="center"/>
          </w:tcPr>
          <w:p w14:paraId="2E8267B9" w14:textId="5A26A039" w:rsidR="0037587E" w:rsidRPr="00D613A6" w:rsidRDefault="0042624D" w:rsidP="0042624D">
            <w:pPr>
              <w:pStyle w:val="Pamatteksts1"/>
              <w:spacing w:before="40" w:after="40"/>
              <w:ind w:firstLine="0"/>
              <w:jc w:val="right"/>
              <w:rPr>
                <w:b/>
                <w:color w:val="17365D"/>
                <w:sz w:val="20"/>
                <w:szCs w:val="20"/>
              </w:rPr>
            </w:pPr>
            <w:r w:rsidRPr="00D613A6">
              <w:rPr>
                <w:b/>
                <w:color w:val="17365D"/>
                <w:sz w:val="20"/>
                <w:szCs w:val="20"/>
              </w:rPr>
              <w:t>-20</w:t>
            </w:r>
            <w:r w:rsidR="00585C76" w:rsidRPr="00D613A6">
              <w:rPr>
                <w:b/>
                <w:color w:val="17365D"/>
                <w:sz w:val="20"/>
                <w:szCs w:val="20"/>
              </w:rPr>
              <w:t>.</w:t>
            </w:r>
            <w:r w:rsidRPr="00D613A6">
              <w:rPr>
                <w:b/>
                <w:color w:val="17365D"/>
                <w:sz w:val="20"/>
                <w:szCs w:val="20"/>
              </w:rPr>
              <w:t>21</w:t>
            </w:r>
          </w:p>
        </w:tc>
      </w:tr>
      <w:tr w:rsidR="00D613A6" w:rsidRPr="00D613A6" w14:paraId="458D0C21" w14:textId="77777777" w:rsidTr="00804A66">
        <w:trPr>
          <w:cantSplit/>
          <w:trHeight w:val="284"/>
        </w:trPr>
        <w:tc>
          <w:tcPr>
            <w:tcW w:w="898" w:type="dxa"/>
            <w:tcBorders>
              <w:top w:val="single" w:sz="4" w:space="0" w:color="17365D"/>
              <w:left w:val="nil"/>
              <w:bottom w:val="nil"/>
              <w:right w:val="nil"/>
            </w:tcBorders>
            <w:vAlign w:val="center"/>
          </w:tcPr>
          <w:p w14:paraId="225C606A"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2.1.</w:t>
            </w:r>
          </w:p>
        </w:tc>
        <w:tc>
          <w:tcPr>
            <w:tcW w:w="2575" w:type="dxa"/>
            <w:tcBorders>
              <w:top w:val="single" w:sz="4" w:space="0" w:color="17365D"/>
              <w:left w:val="nil"/>
              <w:bottom w:val="nil"/>
              <w:right w:val="nil"/>
            </w:tcBorders>
            <w:shd w:val="clear" w:color="000000" w:fill="FFFFFF"/>
            <w:vAlign w:val="center"/>
          </w:tcPr>
          <w:p w14:paraId="4CEB753C"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75" w:type="dxa"/>
            <w:tcBorders>
              <w:top w:val="single" w:sz="4" w:space="0" w:color="17365D"/>
              <w:left w:val="nil"/>
              <w:bottom w:val="nil"/>
              <w:right w:val="nil"/>
            </w:tcBorders>
            <w:shd w:val="clear" w:color="000000" w:fill="FFFFFF"/>
            <w:vAlign w:val="center"/>
          </w:tcPr>
          <w:p w14:paraId="7FFD5782" w14:textId="5407A68F"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 xml:space="preserve">1 </w:t>
            </w:r>
            <w:r w:rsidR="00585C76" w:rsidRPr="00D613A6">
              <w:rPr>
                <w:color w:val="17365D"/>
                <w:sz w:val="20"/>
                <w:szCs w:val="20"/>
              </w:rPr>
              <w:t>453</w:t>
            </w:r>
            <w:r w:rsidRPr="00D613A6">
              <w:rPr>
                <w:color w:val="17365D"/>
                <w:sz w:val="20"/>
                <w:szCs w:val="20"/>
              </w:rPr>
              <w:t xml:space="preserve"> </w:t>
            </w:r>
            <w:r w:rsidR="00585C76" w:rsidRPr="00D613A6">
              <w:rPr>
                <w:color w:val="17365D"/>
                <w:sz w:val="20"/>
                <w:szCs w:val="20"/>
              </w:rPr>
              <w:t>737</w:t>
            </w:r>
          </w:p>
        </w:tc>
        <w:tc>
          <w:tcPr>
            <w:tcW w:w="1475" w:type="dxa"/>
            <w:tcBorders>
              <w:top w:val="single" w:sz="4" w:space="0" w:color="17365D"/>
              <w:left w:val="nil"/>
              <w:bottom w:val="nil"/>
              <w:right w:val="nil"/>
            </w:tcBorders>
            <w:shd w:val="clear" w:color="auto" w:fill="auto"/>
            <w:vAlign w:val="center"/>
          </w:tcPr>
          <w:p w14:paraId="351318D4" w14:textId="149F3DC0"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1 821 972</w:t>
            </w:r>
          </w:p>
        </w:tc>
        <w:tc>
          <w:tcPr>
            <w:tcW w:w="1624" w:type="dxa"/>
            <w:tcBorders>
              <w:top w:val="single" w:sz="4" w:space="0" w:color="17365D"/>
              <w:left w:val="nil"/>
              <w:bottom w:val="nil"/>
              <w:right w:val="nil"/>
            </w:tcBorders>
            <w:shd w:val="clear" w:color="000000" w:fill="FFFFFF"/>
            <w:vAlign w:val="center"/>
          </w:tcPr>
          <w:p w14:paraId="38AC4792" w14:textId="20C90DE0" w:rsidR="0037587E" w:rsidRPr="00D613A6" w:rsidRDefault="0037587E" w:rsidP="00585C76">
            <w:pPr>
              <w:pStyle w:val="Pamatteksts1"/>
              <w:spacing w:before="60" w:after="60"/>
              <w:ind w:left="-107" w:right="-105" w:firstLine="0"/>
              <w:jc w:val="right"/>
              <w:rPr>
                <w:color w:val="17365D"/>
                <w:sz w:val="20"/>
                <w:szCs w:val="20"/>
              </w:rPr>
            </w:pPr>
            <w:r w:rsidRPr="00D613A6">
              <w:rPr>
                <w:color w:val="17365D"/>
                <w:sz w:val="20"/>
                <w:szCs w:val="20"/>
              </w:rPr>
              <w:t>-</w:t>
            </w:r>
            <w:r w:rsidR="00585C76" w:rsidRPr="00D613A6">
              <w:rPr>
                <w:color w:val="17365D"/>
                <w:sz w:val="20"/>
                <w:szCs w:val="20"/>
              </w:rPr>
              <w:t>368</w:t>
            </w:r>
            <w:r w:rsidRPr="00D613A6">
              <w:rPr>
                <w:color w:val="17365D"/>
                <w:sz w:val="20"/>
                <w:szCs w:val="20"/>
              </w:rPr>
              <w:t xml:space="preserve"> </w:t>
            </w:r>
            <w:r w:rsidR="00585C76" w:rsidRPr="00D613A6">
              <w:rPr>
                <w:color w:val="17365D"/>
                <w:sz w:val="20"/>
                <w:szCs w:val="20"/>
              </w:rPr>
              <w:t>235</w:t>
            </w:r>
          </w:p>
        </w:tc>
        <w:tc>
          <w:tcPr>
            <w:tcW w:w="1327" w:type="dxa"/>
            <w:tcBorders>
              <w:top w:val="single" w:sz="4" w:space="0" w:color="17365D"/>
              <w:left w:val="nil"/>
              <w:bottom w:val="nil"/>
              <w:right w:val="nil"/>
            </w:tcBorders>
            <w:shd w:val="clear" w:color="000000" w:fill="FFFFFF"/>
            <w:vAlign w:val="center"/>
          </w:tcPr>
          <w:p w14:paraId="44427B9D" w14:textId="4BF077FF" w:rsidR="0037587E" w:rsidRPr="00D613A6" w:rsidRDefault="0042624D" w:rsidP="0042624D">
            <w:pPr>
              <w:pStyle w:val="Pamatteksts1"/>
              <w:spacing w:before="40" w:after="40"/>
              <w:ind w:firstLine="0"/>
              <w:jc w:val="right"/>
              <w:rPr>
                <w:color w:val="17365D"/>
                <w:sz w:val="20"/>
                <w:szCs w:val="20"/>
              </w:rPr>
            </w:pPr>
            <w:r w:rsidRPr="00D613A6">
              <w:rPr>
                <w:color w:val="17365D"/>
                <w:sz w:val="20"/>
                <w:szCs w:val="20"/>
              </w:rPr>
              <w:t>-20</w:t>
            </w:r>
            <w:r w:rsidR="0037587E" w:rsidRPr="00D613A6">
              <w:rPr>
                <w:color w:val="17365D"/>
                <w:sz w:val="20"/>
                <w:szCs w:val="20"/>
              </w:rPr>
              <w:t>.</w:t>
            </w:r>
            <w:r w:rsidRPr="00D613A6">
              <w:rPr>
                <w:color w:val="17365D"/>
                <w:sz w:val="20"/>
                <w:szCs w:val="20"/>
              </w:rPr>
              <w:t>21</w:t>
            </w:r>
          </w:p>
        </w:tc>
      </w:tr>
      <w:tr w:rsidR="00D613A6" w:rsidRPr="00D613A6" w14:paraId="3D58D4A0" w14:textId="77777777" w:rsidTr="00804A66">
        <w:trPr>
          <w:cantSplit/>
          <w:trHeight w:val="284"/>
        </w:trPr>
        <w:tc>
          <w:tcPr>
            <w:tcW w:w="898" w:type="dxa"/>
            <w:tcBorders>
              <w:top w:val="nil"/>
              <w:left w:val="nil"/>
              <w:bottom w:val="nil"/>
              <w:right w:val="nil"/>
            </w:tcBorders>
            <w:shd w:val="clear" w:color="auto" w:fill="B9CDE5"/>
            <w:vAlign w:val="center"/>
          </w:tcPr>
          <w:p w14:paraId="4F171C83" w14:textId="77777777" w:rsidR="0077056C" w:rsidRPr="00D613A6" w:rsidRDefault="0077056C" w:rsidP="00804A66">
            <w:pPr>
              <w:pStyle w:val="Pamatteksts1"/>
              <w:spacing w:before="40" w:after="40"/>
              <w:ind w:firstLine="0"/>
              <w:jc w:val="left"/>
              <w:rPr>
                <w:color w:val="17365D"/>
                <w:sz w:val="20"/>
                <w:szCs w:val="20"/>
              </w:rPr>
            </w:pPr>
          </w:p>
        </w:tc>
        <w:tc>
          <w:tcPr>
            <w:tcW w:w="2575" w:type="dxa"/>
            <w:tcBorders>
              <w:top w:val="nil"/>
              <w:left w:val="nil"/>
              <w:bottom w:val="nil"/>
              <w:right w:val="nil"/>
            </w:tcBorders>
            <w:shd w:val="clear" w:color="auto" w:fill="B9CDE5"/>
            <w:vAlign w:val="center"/>
          </w:tcPr>
          <w:p w14:paraId="44ADB537" w14:textId="77777777" w:rsidR="0077056C" w:rsidRPr="00D613A6" w:rsidRDefault="0077056C" w:rsidP="00804A66">
            <w:pPr>
              <w:pStyle w:val="Pamatteksts1"/>
              <w:spacing w:before="40" w:after="40"/>
              <w:ind w:firstLine="0"/>
              <w:rPr>
                <w:bCs/>
                <w:color w:val="17365D"/>
                <w:sz w:val="20"/>
                <w:szCs w:val="20"/>
              </w:rPr>
            </w:pPr>
          </w:p>
        </w:tc>
        <w:tc>
          <w:tcPr>
            <w:tcW w:w="1475" w:type="dxa"/>
            <w:tcBorders>
              <w:top w:val="nil"/>
              <w:left w:val="nil"/>
              <w:bottom w:val="nil"/>
              <w:right w:val="nil"/>
            </w:tcBorders>
            <w:shd w:val="clear" w:color="auto" w:fill="B9CDE5"/>
            <w:vAlign w:val="center"/>
          </w:tcPr>
          <w:p w14:paraId="570DE0D6" w14:textId="77777777" w:rsidR="0077056C" w:rsidRPr="00D613A6" w:rsidRDefault="0077056C" w:rsidP="00804A66">
            <w:pPr>
              <w:pStyle w:val="Pamatteksts1"/>
              <w:spacing w:before="40" w:after="40"/>
              <w:ind w:firstLine="0"/>
              <w:jc w:val="right"/>
              <w:rPr>
                <w:bCs/>
                <w:color w:val="17365D"/>
                <w:sz w:val="20"/>
                <w:szCs w:val="20"/>
              </w:rPr>
            </w:pPr>
          </w:p>
        </w:tc>
        <w:tc>
          <w:tcPr>
            <w:tcW w:w="1475" w:type="dxa"/>
            <w:tcBorders>
              <w:top w:val="nil"/>
              <w:left w:val="nil"/>
              <w:bottom w:val="nil"/>
              <w:right w:val="nil"/>
            </w:tcBorders>
            <w:shd w:val="clear" w:color="auto" w:fill="B9CDE5"/>
            <w:vAlign w:val="center"/>
          </w:tcPr>
          <w:p w14:paraId="4A77541F" w14:textId="77777777" w:rsidR="0077056C" w:rsidRPr="00D613A6" w:rsidRDefault="0077056C" w:rsidP="00804A66">
            <w:pPr>
              <w:pStyle w:val="Pamatteksts1"/>
              <w:spacing w:before="40" w:after="40"/>
              <w:ind w:firstLine="0"/>
              <w:jc w:val="right"/>
              <w:rPr>
                <w:bCs/>
                <w:color w:val="17365D"/>
                <w:sz w:val="20"/>
                <w:szCs w:val="20"/>
              </w:rPr>
            </w:pPr>
          </w:p>
        </w:tc>
        <w:tc>
          <w:tcPr>
            <w:tcW w:w="1624" w:type="dxa"/>
            <w:tcBorders>
              <w:top w:val="nil"/>
              <w:left w:val="nil"/>
              <w:bottom w:val="nil"/>
              <w:right w:val="nil"/>
            </w:tcBorders>
            <w:shd w:val="clear" w:color="auto" w:fill="B9CDE5"/>
            <w:vAlign w:val="center"/>
          </w:tcPr>
          <w:p w14:paraId="5EE3160E" w14:textId="77777777" w:rsidR="0077056C" w:rsidRPr="00D613A6" w:rsidRDefault="0077056C" w:rsidP="00804A66">
            <w:pPr>
              <w:pStyle w:val="Pamatteksts1"/>
              <w:spacing w:before="60" w:after="60"/>
              <w:ind w:left="-107" w:right="-105" w:firstLine="0"/>
              <w:jc w:val="right"/>
              <w:rPr>
                <w:bCs/>
                <w:color w:val="17365D"/>
                <w:sz w:val="20"/>
                <w:szCs w:val="20"/>
              </w:rPr>
            </w:pPr>
          </w:p>
        </w:tc>
        <w:tc>
          <w:tcPr>
            <w:tcW w:w="1327" w:type="dxa"/>
            <w:tcBorders>
              <w:top w:val="nil"/>
              <w:left w:val="nil"/>
              <w:bottom w:val="nil"/>
              <w:right w:val="nil"/>
            </w:tcBorders>
            <w:shd w:val="clear" w:color="auto" w:fill="B9CDE5"/>
            <w:vAlign w:val="center"/>
          </w:tcPr>
          <w:p w14:paraId="48D20D66" w14:textId="77777777" w:rsidR="0077056C" w:rsidRPr="00D613A6" w:rsidRDefault="0077056C" w:rsidP="00804A66">
            <w:pPr>
              <w:pStyle w:val="Pamatteksts1"/>
              <w:spacing w:before="40" w:after="40"/>
              <w:ind w:firstLine="0"/>
              <w:jc w:val="right"/>
              <w:rPr>
                <w:bCs/>
                <w:color w:val="17365D"/>
                <w:sz w:val="20"/>
                <w:szCs w:val="20"/>
              </w:rPr>
            </w:pPr>
          </w:p>
        </w:tc>
      </w:tr>
    </w:tbl>
    <w:p w14:paraId="103B35D7" w14:textId="77777777" w:rsidR="0077056C" w:rsidRPr="00D613A6" w:rsidRDefault="0077056C" w:rsidP="00630F31">
      <w:pPr>
        <w:pStyle w:val="Pamatteksts1"/>
        <w:rPr>
          <w:noProof w:val="0"/>
          <w:color w:val="17365D"/>
        </w:rPr>
      </w:pPr>
    </w:p>
    <w:p w14:paraId="3ACF7202" w14:textId="0328C492" w:rsidR="0048290C" w:rsidRPr="00D613A6" w:rsidRDefault="0048290C" w:rsidP="0048290C">
      <w:pPr>
        <w:pStyle w:val="Pamatteksts1"/>
        <w:rPr>
          <w:noProof w:val="0"/>
          <w:color w:val="17365D"/>
        </w:rPr>
      </w:pPr>
      <w:r w:rsidRPr="00D613A6">
        <w:rPr>
          <w:noProof w:val="0"/>
          <w:color w:val="17365D"/>
        </w:rPr>
        <w:t>Valsts sociālās apdrošināšanas speciālā budžeta izdevumu izmaiņas sadalījumā pa programmām:</w:t>
      </w:r>
    </w:p>
    <w:p w14:paraId="397743E2" w14:textId="605D8B0F" w:rsidR="00CB5B17" w:rsidRPr="00D613A6" w:rsidRDefault="00A07DD3" w:rsidP="008750F0">
      <w:pPr>
        <w:pStyle w:val="Bullets"/>
        <w:numPr>
          <w:ilvl w:val="0"/>
          <w:numId w:val="7"/>
        </w:numPr>
        <w:ind w:left="993" w:hanging="426"/>
        <w:rPr>
          <w:noProof w:val="0"/>
          <w:color w:val="17365D"/>
        </w:rPr>
      </w:pPr>
      <w:r w:rsidRPr="00D613A6">
        <w:rPr>
          <w:noProof w:val="0"/>
          <w:color w:val="17365D"/>
        </w:rPr>
        <w:t>lielāk</w:t>
      </w:r>
      <w:r w:rsidR="008230F0" w:rsidRPr="00D613A6">
        <w:rPr>
          <w:noProof w:val="0"/>
          <w:color w:val="17365D"/>
        </w:rPr>
        <w:t>ā</w:t>
      </w:r>
      <w:r w:rsidRPr="00D613A6">
        <w:rPr>
          <w:noProof w:val="0"/>
          <w:color w:val="17365D"/>
        </w:rPr>
        <w:t xml:space="preserve"> izdevumu daļ</w:t>
      </w:r>
      <w:r w:rsidR="008230F0" w:rsidRPr="00D613A6">
        <w:rPr>
          <w:noProof w:val="0"/>
          <w:color w:val="17365D"/>
        </w:rPr>
        <w:t>a</w:t>
      </w:r>
      <w:r w:rsidRPr="00D613A6">
        <w:rPr>
          <w:noProof w:val="0"/>
          <w:color w:val="17365D"/>
        </w:rPr>
        <w:t xml:space="preserve"> 20</w:t>
      </w:r>
      <w:r w:rsidR="00607551" w:rsidRPr="00D613A6">
        <w:rPr>
          <w:noProof w:val="0"/>
          <w:color w:val="17365D"/>
        </w:rPr>
        <w:t>2</w:t>
      </w:r>
      <w:r w:rsidR="008B7088" w:rsidRPr="00D613A6">
        <w:rPr>
          <w:noProof w:val="0"/>
          <w:color w:val="17365D"/>
        </w:rPr>
        <w:t>4</w:t>
      </w:r>
      <w:r w:rsidRPr="00D613A6">
        <w:rPr>
          <w:noProof w:val="0"/>
          <w:color w:val="17365D"/>
        </w:rPr>
        <w:t>.</w:t>
      </w:r>
      <w:r w:rsidR="00B26141" w:rsidRPr="00D613A6">
        <w:rPr>
          <w:noProof w:val="0"/>
          <w:color w:val="17365D"/>
        </w:rPr>
        <w:t> </w:t>
      </w:r>
      <w:r w:rsidRPr="00D613A6">
        <w:rPr>
          <w:noProof w:val="0"/>
          <w:color w:val="17365D"/>
        </w:rPr>
        <w:t>gadā veidojas programm</w:t>
      </w:r>
      <w:r w:rsidR="008230F0" w:rsidRPr="00D613A6">
        <w:rPr>
          <w:noProof w:val="0"/>
          <w:color w:val="17365D"/>
        </w:rPr>
        <w:t>ā</w:t>
      </w:r>
      <w:r w:rsidRPr="00D613A6">
        <w:rPr>
          <w:noProof w:val="0"/>
          <w:color w:val="17365D"/>
        </w:rPr>
        <w:t xml:space="preserve"> “Valst</w:t>
      </w:r>
      <w:r w:rsidR="0099789B" w:rsidRPr="00D613A6">
        <w:rPr>
          <w:noProof w:val="0"/>
          <w:color w:val="17365D"/>
        </w:rPr>
        <w:t>s pensiju speciālais budžets” 3</w:t>
      </w:r>
      <w:r w:rsidR="00B26141" w:rsidRPr="00D613A6">
        <w:rPr>
          <w:noProof w:val="0"/>
          <w:color w:val="17365D"/>
        </w:rPr>
        <w:t> </w:t>
      </w:r>
      <w:r w:rsidR="0099789B" w:rsidRPr="00D613A6">
        <w:rPr>
          <w:noProof w:val="0"/>
          <w:color w:val="17365D"/>
        </w:rPr>
        <w:t>160</w:t>
      </w:r>
      <w:r w:rsidRPr="00D613A6">
        <w:rPr>
          <w:noProof w:val="0"/>
          <w:color w:val="17365D"/>
        </w:rPr>
        <w:t>,</w:t>
      </w:r>
      <w:r w:rsidR="0099789B" w:rsidRPr="00D613A6">
        <w:rPr>
          <w:noProof w:val="0"/>
          <w:color w:val="17365D"/>
        </w:rPr>
        <w:t>4</w:t>
      </w:r>
      <w:r w:rsidR="00694E66" w:rsidRPr="00D613A6">
        <w:rPr>
          <w:noProof w:val="0"/>
          <w:color w:val="17365D"/>
        </w:rPr>
        <w:t> </w:t>
      </w:r>
      <w:r w:rsidRPr="00D613A6">
        <w:rPr>
          <w:noProof w:val="0"/>
          <w:color w:val="17365D"/>
        </w:rPr>
        <w:t>milj.</w:t>
      </w:r>
      <w:r w:rsidR="00694E66" w:rsidRPr="00D613A6">
        <w:rPr>
          <w:noProof w:val="0"/>
          <w:color w:val="17365D"/>
        </w:rPr>
        <w:t> </w:t>
      </w:r>
      <w:r w:rsidR="006271FE" w:rsidRPr="00D613A6">
        <w:rPr>
          <w:i/>
          <w:noProof w:val="0"/>
          <w:color w:val="17365D"/>
        </w:rPr>
        <w:t>eu</w:t>
      </w:r>
      <w:r w:rsidRPr="00D613A6">
        <w:rPr>
          <w:i/>
          <w:noProof w:val="0"/>
          <w:color w:val="17365D"/>
        </w:rPr>
        <w:t>ro</w:t>
      </w:r>
      <w:r w:rsidRPr="00D613A6">
        <w:rPr>
          <w:noProof w:val="0"/>
          <w:color w:val="17365D"/>
        </w:rPr>
        <w:t xml:space="preserve"> jeb </w:t>
      </w:r>
      <w:r w:rsidR="00CF559A" w:rsidRPr="00D613A6">
        <w:rPr>
          <w:noProof w:val="0"/>
          <w:color w:val="17365D"/>
        </w:rPr>
        <w:t>68</w:t>
      </w:r>
      <w:r w:rsidRPr="00D613A6">
        <w:rPr>
          <w:noProof w:val="0"/>
          <w:color w:val="17365D"/>
        </w:rPr>
        <w:t>,</w:t>
      </w:r>
      <w:r w:rsidR="0099789B" w:rsidRPr="00D613A6">
        <w:rPr>
          <w:noProof w:val="0"/>
          <w:color w:val="17365D"/>
        </w:rPr>
        <w:t>77</w:t>
      </w:r>
      <w:r w:rsidR="00464F58" w:rsidRPr="00D613A6">
        <w:rPr>
          <w:noProof w:val="0"/>
          <w:color w:val="17365D"/>
        </w:rPr>
        <w:t> </w:t>
      </w:r>
      <w:r w:rsidRPr="00D613A6">
        <w:rPr>
          <w:noProof w:val="0"/>
          <w:color w:val="17365D"/>
        </w:rPr>
        <w:t xml:space="preserve">% no kopējiem </w:t>
      </w:r>
      <w:r w:rsidR="00E41CB1" w:rsidRPr="00D613A6">
        <w:rPr>
          <w:noProof w:val="0"/>
          <w:color w:val="17365D"/>
        </w:rPr>
        <w:t xml:space="preserve">bruto </w:t>
      </w:r>
      <w:r w:rsidRPr="00D613A6">
        <w:rPr>
          <w:noProof w:val="0"/>
          <w:color w:val="17365D"/>
        </w:rPr>
        <w:t>izdevumiem</w:t>
      </w:r>
      <w:r w:rsidR="00B26141" w:rsidRPr="00D613A6">
        <w:rPr>
          <w:noProof w:val="0"/>
          <w:color w:val="17365D"/>
        </w:rPr>
        <w:t xml:space="preserve"> </w:t>
      </w:r>
      <w:r w:rsidR="00E41CB1" w:rsidRPr="00D613A6">
        <w:rPr>
          <w:noProof w:val="0"/>
          <w:color w:val="17365D"/>
        </w:rPr>
        <w:t>(turpmāk – izdevumi)</w:t>
      </w:r>
      <w:r w:rsidR="00B11377" w:rsidRPr="00D613A6">
        <w:rPr>
          <w:noProof w:val="0"/>
          <w:color w:val="17365D"/>
        </w:rPr>
        <w:t>,</w:t>
      </w:r>
      <w:r w:rsidR="00391A7B" w:rsidRPr="00D613A6">
        <w:rPr>
          <w:noProof w:val="0"/>
          <w:color w:val="17365D"/>
        </w:rPr>
        <w:t xml:space="preserve"> </w:t>
      </w:r>
      <w:r w:rsidR="00CB5B17" w:rsidRPr="00D613A6">
        <w:rPr>
          <w:noProof w:val="0"/>
          <w:color w:val="17365D"/>
        </w:rPr>
        <w:t>no š</w:t>
      </w:r>
      <w:r w:rsidR="00CA7FED" w:rsidRPr="00D613A6">
        <w:rPr>
          <w:noProof w:val="0"/>
          <w:color w:val="17365D"/>
        </w:rPr>
        <w:t>ī</w:t>
      </w:r>
      <w:r w:rsidR="008230F0" w:rsidRPr="00D613A6">
        <w:rPr>
          <w:noProof w:val="0"/>
          <w:color w:val="17365D"/>
        </w:rPr>
        <w:t>s</w:t>
      </w:r>
      <w:r w:rsidR="00CB5B17" w:rsidRPr="00D613A6">
        <w:rPr>
          <w:noProof w:val="0"/>
          <w:color w:val="17365D"/>
        </w:rPr>
        <w:t xml:space="preserve"> programmas </w:t>
      </w:r>
      <w:r w:rsidR="005A73EA" w:rsidRPr="00D613A6">
        <w:rPr>
          <w:noProof w:val="0"/>
          <w:color w:val="17365D"/>
        </w:rPr>
        <w:t>realizē</w:t>
      </w:r>
      <w:r w:rsidR="008230F0" w:rsidRPr="00D613A6">
        <w:rPr>
          <w:noProof w:val="0"/>
          <w:color w:val="17365D"/>
        </w:rPr>
        <w:t>ta</w:t>
      </w:r>
      <w:r w:rsidR="00391A7B" w:rsidRPr="00D613A6">
        <w:rPr>
          <w:noProof w:val="0"/>
          <w:color w:val="17365D"/>
        </w:rPr>
        <w:t xml:space="preserve"> pensiju indeksācij</w:t>
      </w:r>
      <w:r w:rsidR="008230F0" w:rsidRPr="00D613A6">
        <w:rPr>
          <w:noProof w:val="0"/>
          <w:color w:val="17365D"/>
        </w:rPr>
        <w:t>a</w:t>
      </w:r>
      <w:r w:rsidR="00391A7B" w:rsidRPr="00D613A6">
        <w:rPr>
          <w:noProof w:val="0"/>
          <w:color w:val="17365D"/>
        </w:rPr>
        <w:t xml:space="preserve"> 202</w:t>
      </w:r>
      <w:r w:rsidR="0099789B" w:rsidRPr="00D613A6">
        <w:rPr>
          <w:noProof w:val="0"/>
          <w:color w:val="17365D"/>
        </w:rPr>
        <w:t>4</w:t>
      </w:r>
      <w:r w:rsidR="00391A7B" w:rsidRPr="00D613A6">
        <w:rPr>
          <w:noProof w:val="0"/>
          <w:color w:val="17365D"/>
        </w:rPr>
        <w:t>.</w:t>
      </w:r>
      <w:r w:rsidR="008230F0" w:rsidRPr="00D613A6">
        <w:rPr>
          <w:noProof w:val="0"/>
          <w:color w:val="17365D"/>
        </w:rPr>
        <w:t> </w:t>
      </w:r>
      <w:r w:rsidR="00391A7B" w:rsidRPr="00D613A6">
        <w:rPr>
          <w:noProof w:val="0"/>
          <w:color w:val="17365D"/>
        </w:rPr>
        <w:t xml:space="preserve">gada </w:t>
      </w:r>
      <w:r w:rsidR="0009160E" w:rsidRPr="00D613A6">
        <w:rPr>
          <w:noProof w:val="0"/>
          <w:color w:val="17365D"/>
        </w:rPr>
        <w:t>oktobrī</w:t>
      </w:r>
      <w:r w:rsidR="00391A7B" w:rsidRPr="00D613A6">
        <w:rPr>
          <w:noProof w:val="0"/>
          <w:color w:val="17365D"/>
        </w:rPr>
        <w:t xml:space="preserve">, </w:t>
      </w:r>
      <w:r w:rsidR="00CA7FED" w:rsidRPr="00D613A6">
        <w:rPr>
          <w:noProof w:val="0"/>
          <w:color w:val="17365D"/>
        </w:rPr>
        <w:t xml:space="preserve">jo </w:t>
      </w:r>
      <w:r w:rsidR="00391A7B" w:rsidRPr="00D613A6">
        <w:rPr>
          <w:noProof w:val="0"/>
          <w:color w:val="17365D"/>
        </w:rPr>
        <w:t>palielin</w:t>
      </w:r>
      <w:r w:rsidR="00CA7FED" w:rsidRPr="00D613A6">
        <w:rPr>
          <w:noProof w:val="0"/>
          <w:color w:val="17365D"/>
        </w:rPr>
        <w:t xml:space="preserve">ājās </w:t>
      </w:r>
      <w:r w:rsidR="00391A7B" w:rsidRPr="00D613A6">
        <w:rPr>
          <w:noProof w:val="0"/>
          <w:color w:val="17365D"/>
        </w:rPr>
        <w:t>vecuma pensijas apmēr</w:t>
      </w:r>
      <w:r w:rsidR="00CA7FED" w:rsidRPr="00D613A6">
        <w:rPr>
          <w:noProof w:val="0"/>
          <w:color w:val="17365D"/>
        </w:rPr>
        <w:t>s, kā arī</w:t>
      </w:r>
      <w:r w:rsidR="00332FDA" w:rsidRPr="00D613A6">
        <w:rPr>
          <w:noProof w:val="0"/>
          <w:color w:val="17365D"/>
        </w:rPr>
        <w:t xml:space="preserve"> ar 2024. gada 1. janvāri atjaunota pakāpeniska (atbilstoši pensijas piešķiršanas gadiem) piemaksu piešķiršana par apdrošināšanas stāžu, kas uzkrāts līdz 1995. gada 31. decembrim. 2024. gadā tās piešķirtas personām, kurām pensija piešķirta 2012., 2013. un 2014. gadā (1,52 </w:t>
      </w:r>
      <w:r w:rsidR="00332FDA" w:rsidRPr="00D613A6">
        <w:rPr>
          <w:i/>
          <w:noProof w:val="0"/>
          <w:color w:val="17365D"/>
        </w:rPr>
        <w:t>euro</w:t>
      </w:r>
      <w:r w:rsidR="00332FDA" w:rsidRPr="00D613A6">
        <w:rPr>
          <w:noProof w:val="0"/>
          <w:color w:val="17365D"/>
        </w:rPr>
        <w:t xml:space="preserve"> apmērā par katru gadu)</w:t>
      </w:r>
      <w:r w:rsidR="00CB5B17" w:rsidRPr="00D613A6">
        <w:rPr>
          <w:noProof w:val="0"/>
          <w:color w:val="17365D"/>
        </w:rPr>
        <w:t>;</w:t>
      </w:r>
      <w:r w:rsidRPr="00D613A6">
        <w:rPr>
          <w:noProof w:val="0"/>
          <w:color w:val="17365D"/>
        </w:rPr>
        <w:t xml:space="preserve"> </w:t>
      </w:r>
    </w:p>
    <w:p w14:paraId="57F9CFE7" w14:textId="2D8F0DB3" w:rsidR="00CB5B17" w:rsidRPr="00D613A6" w:rsidRDefault="00A07DD3" w:rsidP="008750F0">
      <w:pPr>
        <w:pStyle w:val="Bullets"/>
        <w:numPr>
          <w:ilvl w:val="0"/>
          <w:numId w:val="7"/>
        </w:numPr>
        <w:ind w:left="993" w:hanging="426"/>
        <w:rPr>
          <w:noProof w:val="0"/>
          <w:color w:val="17365D"/>
        </w:rPr>
      </w:pPr>
      <w:r w:rsidRPr="00D613A6">
        <w:rPr>
          <w:noProof w:val="0"/>
          <w:color w:val="17365D"/>
        </w:rPr>
        <w:t>programm</w:t>
      </w:r>
      <w:r w:rsidR="008230F0" w:rsidRPr="00D613A6">
        <w:rPr>
          <w:noProof w:val="0"/>
          <w:color w:val="17365D"/>
        </w:rPr>
        <w:t>ā</w:t>
      </w:r>
      <w:r w:rsidRPr="00D613A6">
        <w:rPr>
          <w:noProof w:val="0"/>
          <w:color w:val="17365D"/>
        </w:rPr>
        <w:t xml:space="preserve"> “Invaliditātes, maternitātes un slimības speciālais budžets” </w:t>
      </w:r>
      <w:r w:rsidR="00B249BD" w:rsidRPr="00D613A6">
        <w:rPr>
          <w:noProof w:val="0"/>
          <w:color w:val="17365D"/>
        </w:rPr>
        <w:t xml:space="preserve">izdevumi ir </w:t>
      </w:r>
      <w:r w:rsidR="00A6274B" w:rsidRPr="00D613A6">
        <w:rPr>
          <w:noProof w:val="0"/>
          <w:color w:val="17365D"/>
        </w:rPr>
        <w:t>1</w:t>
      </w:r>
      <w:r w:rsidR="000B2592" w:rsidRPr="00D613A6">
        <w:rPr>
          <w:noProof w:val="0"/>
          <w:color w:val="17365D"/>
        </w:rPr>
        <w:t> </w:t>
      </w:r>
      <w:r w:rsidR="00A6274B" w:rsidRPr="00D613A6">
        <w:rPr>
          <w:noProof w:val="0"/>
          <w:color w:val="17365D"/>
        </w:rPr>
        <w:t>0</w:t>
      </w:r>
      <w:r w:rsidR="0099789B" w:rsidRPr="00D613A6">
        <w:rPr>
          <w:noProof w:val="0"/>
          <w:color w:val="17365D"/>
        </w:rPr>
        <w:t>72</w:t>
      </w:r>
      <w:r w:rsidRPr="00D613A6">
        <w:rPr>
          <w:noProof w:val="0"/>
          <w:color w:val="17365D"/>
        </w:rPr>
        <w:t>,</w:t>
      </w:r>
      <w:r w:rsidR="0099789B" w:rsidRPr="00D613A6">
        <w:rPr>
          <w:noProof w:val="0"/>
          <w:color w:val="17365D"/>
        </w:rPr>
        <w:t>4</w:t>
      </w:r>
      <w:r w:rsidRPr="00D613A6">
        <w:rPr>
          <w:noProof w:val="0"/>
          <w:color w:val="17365D"/>
        </w:rPr>
        <w:t xml:space="preserve"> milj. </w:t>
      </w:r>
      <w:r w:rsidRPr="00D613A6">
        <w:rPr>
          <w:i/>
          <w:noProof w:val="0"/>
          <w:color w:val="17365D"/>
        </w:rPr>
        <w:t>e</w:t>
      </w:r>
      <w:r w:rsidR="006271FE" w:rsidRPr="00D613A6">
        <w:rPr>
          <w:i/>
          <w:noProof w:val="0"/>
          <w:color w:val="17365D"/>
        </w:rPr>
        <w:t>u</w:t>
      </w:r>
      <w:r w:rsidRPr="00D613A6">
        <w:rPr>
          <w:i/>
          <w:noProof w:val="0"/>
          <w:color w:val="17365D"/>
        </w:rPr>
        <w:t>ro</w:t>
      </w:r>
      <w:r w:rsidRPr="00D613A6">
        <w:rPr>
          <w:noProof w:val="0"/>
          <w:color w:val="17365D"/>
        </w:rPr>
        <w:t xml:space="preserve"> jeb </w:t>
      </w:r>
      <w:r w:rsidR="00A6274B" w:rsidRPr="00D613A6">
        <w:rPr>
          <w:noProof w:val="0"/>
          <w:color w:val="17365D"/>
        </w:rPr>
        <w:t>2</w:t>
      </w:r>
      <w:r w:rsidR="00CF559A" w:rsidRPr="00D613A6">
        <w:rPr>
          <w:noProof w:val="0"/>
          <w:color w:val="17365D"/>
        </w:rPr>
        <w:t>3</w:t>
      </w:r>
      <w:r w:rsidRPr="00D613A6">
        <w:rPr>
          <w:noProof w:val="0"/>
          <w:color w:val="17365D"/>
        </w:rPr>
        <w:t>,</w:t>
      </w:r>
      <w:r w:rsidR="00681835" w:rsidRPr="00D613A6">
        <w:rPr>
          <w:noProof w:val="0"/>
          <w:color w:val="17365D"/>
        </w:rPr>
        <w:t>34</w:t>
      </w:r>
      <w:r w:rsidR="00464F58" w:rsidRPr="00D613A6">
        <w:rPr>
          <w:noProof w:val="0"/>
          <w:color w:val="17365D"/>
        </w:rPr>
        <w:t> % no izdevumiem</w:t>
      </w:r>
      <w:r w:rsidR="00CB5B17" w:rsidRPr="00D613A6">
        <w:rPr>
          <w:noProof w:val="0"/>
          <w:color w:val="17365D"/>
        </w:rPr>
        <w:t xml:space="preserve">, </w:t>
      </w:r>
      <w:r w:rsidR="00B249BD" w:rsidRPr="00D613A6">
        <w:rPr>
          <w:noProof w:val="0"/>
          <w:color w:val="17365D"/>
        </w:rPr>
        <w:t>izmaiņas šajā</w:t>
      </w:r>
      <w:r w:rsidR="00CA7FED" w:rsidRPr="00D613A6">
        <w:rPr>
          <w:noProof w:val="0"/>
          <w:color w:val="17365D"/>
        </w:rPr>
        <w:t xml:space="preserve"> programm</w:t>
      </w:r>
      <w:r w:rsidR="00B249BD" w:rsidRPr="00D613A6">
        <w:rPr>
          <w:noProof w:val="0"/>
          <w:color w:val="17365D"/>
        </w:rPr>
        <w:t>ā veidojas</w:t>
      </w:r>
      <w:r w:rsidR="00CB5B17" w:rsidRPr="00D613A6">
        <w:rPr>
          <w:noProof w:val="0"/>
          <w:color w:val="17365D"/>
        </w:rPr>
        <w:t xml:space="preserve"> </w:t>
      </w:r>
      <w:r w:rsidR="00CB5B17" w:rsidRPr="00D613A6">
        <w:rPr>
          <w:noProof w:val="0"/>
          <w:color w:val="17365D"/>
        </w:rPr>
        <w:lastRenderedPageBreak/>
        <w:t xml:space="preserve">saistībā ar </w:t>
      </w:r>
      <w:r w:rsidR="00332FDA" w:rsidRPr="00D613A6">
        <w:rPr>
          <w:noProof w:val="0"/>
          <w:color w:val="17365D"/>
        </w:rPr>
        <w:t>valsts sociālā nodrošināju</w:t>
      </w:r>
      <w:r w:rsidR="00AE444C" w:rsidRPr="00D613A6">
        <w:rPr>
          <w:noProof w:val="0"/>
          <w:color w:val="17365D"/>
        </w:rPr>
        <w:t>ma pabalsta apmēra</w:t>
      </w:r>
      <w:r w:rsidR="00332FDA" w:rsidRPr="00D613A6">
        <w:rPr>
          <w:noProof w:val="0"/>
          <w:color w:val="17365D"/>
        </w:rPr>
        <w:t xml:space="preserve"> pensijas vecumu sasniegušām personām un personām ar invaliditāti palielin</w:t>
      </w:r>
      <w:r w:rsidR="00AE444C" w:rsidRPr="00D613A6">
        <w:rPr>
          <w:noProof w:val="0"/>
          <w:color w:val="17365D"/>
        </w:rPr>
        <w:t>āšanu</w:t>
      </w:r>
      <w:r w:rsidR="00332FDA" w:rsidRPr="00D613A6">
        <w:rPr>
          <w:noProof w:val="0"/>
          <w:color w:val="17365D"/>
        </w:rPr>
        <w:t xml:space="preserve"> līdz 137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125 </w:t>
      </w:r>
      <w:r w:rsidR="00332FDA" w:rsidRPr="00D613A6">
        <w:rPr>
          <w:i/>
          <w:noProof w:val="0"/>
          <w:color w:val="17365D"/>
        </w:rPr>
        <w:t>euro</w:t>
      </w:r>
      <w:r w:rsidR="00332FDA" w:rsidRPr="00D613A6">
        <w:rPr>
          <w:noProof w:val="0"/>
          <w:color w:val="17365D"/>
        </w:rPr>
        <w:t xml:space="preserve">), savukārt personām ar invaliditāti kopš bērnības (25% apmērā no ienākumu mediānas) – līdz 171 </w:t>
      </w:r>
      <w:r w:rsidR="00332FDA" w:rsidRPr="00D613A6">
        <w:rPr>
          <w:i/>
          <w:noProof w:val="0"/>
          <w:color w:val="17365D"/>
        </w:rPr>
        <w:t>euro</w:t>
      </w:r>
      <w:r w:rsidR="00332FDA" w:rsidRPr="00D613A6">
        <w:rPr>
          <w:noProof w:val="0"/>
          <w:color w:val="17365D"/>
        </w:rPr>
        <w:t xml:space="preserve"> (līdz 31.12.2023. </w:t>
      </w:r>
      <w:r w:rsidR="006E06CE" w:rsidRPr="00D613A6">
        <w:rPr>
          <w:noProof w:val="0"/>
          <w:color w:val="17365D"/>
        </w:rPr>
        <w:t>–</w:t>
      </w:r>
      <w:r w:rsidR="00332FDA" w:rsidRPr="00D613A6">
        <w:rPr>
          <w:noProof w:val="0"/>
          <w:color w:val="17365D"/>
        </w:rPr>
        <w:t xml:space="preserve"> 157 </w:t>
      </w:r>
      <w:r w:rsidR="00332FDA" w:rsidRPr="00D613A6">
        <w:rPr>
          <w:i/>
          <w:noProof w:val="0"/>
          <w:color w:val="17365D"/>
        </w:rPr>
        <w:t>euro</w:t>
      </w:r>
      <w:r w:rsidR="00AE444C" w:rsidRPr="00D613A6">
        <w:rPr>
          <w:noProof w:val="0"/>
          <w:color w:val="17365D"/>
        </w:rPr>
        <w:t>)</w:t>
      </w:r>
      <w:r w:rsidR="00332FDA" w:rsidRPr="00D613A6">
        <w:rPr>
          <w:noProof w:val="0"/>
          <w:color w:val="17365D"/>
        </w:rPr>
        <w:t xml:space="preserve">. Valsts sociālā nodrošinājuma pabalsta apmērs apgādnieka zaudējuma gadījumā bērniem līdz septiņu gadu vecumam palielināts līdz 171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157 </w:t>
      </w:r>
      <w:r w:rsidR="00332FDA" w:rsidRPr="00D613A6">
        <w:rPr>
          <w:i/>
          <w:noProof w:val="0"/>
          <w:color w:val="17365D"/>
        </w:rPr>
        <w:t>euro</w:t>
      </w:r>
      <w:r w:rsidR="00332FDA" w:rsidRPr="00D613A6">
        <w:rPr>
          <w:noProof w:val="0"/>
          <w:color w:val="17365D"/>
        </w:rPr>
        <w:t>), no septiņu gadu vecuma</w:t>
      </w:r>
      <w:r w:rsidR="006E06CE">
        <w:rPr>
          <w:noProof w:val="0"/>
          <w:color w:val="17365D"/>
        </w:rPr>
        <w:t xml:space="preserve"> </w:t>
      </w:r>
      <w:r w:rsidR="00332FDA" w:rsidRPr="00D613A6">
        <w:rPr>
          <w:noProof w:val="0"/>
          <w:color w:val="17365D"/>
        </w:rPr>
        <w:t xml:space="preserve">– līdz 206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188 </w:t>
      </w:r>
      <w:r w:rsidR="00332FDA" w:rsidRPr="00D613A6">
        <w:rPr>
          <w:i/>
          <w:noProof w:val="0"/>
          <w:color w:val="17365D"/>
        </w:rPr>
        <w:t>euro</w:t>
      </w:r>
      <w:r w:rsidR="00AE444C" w:rsidRPr="00D613A6">
        <w:rPr>
          <w:noProof w:val="0"/>
          <w:color w:val="17365D"/>
        </w:rPr>
        <w:t>)</w:t>
      </w:r>
      <w:r w:rsidR="00CB5B17" w:rsidRPr="00D613A6">
        <w:rPr>
          <w:noProof w:val="0"/>
          <w:color w:val="17365D"/>
        </w:rPr>
        <w:t>;</w:t>
      </w:r>
      <w:r w:rsidR="00464F58" w:rsidRPr="00D613A6">
        <w:rPr>
          <w:noProof w:val="0"/>
          <w:color w:val="17365D"/>
        </w:rPr>
        <w:t xml:space="preserve"> </w:t>
      </w:r>
    </w:p>
    <w:p w14:paraId="498F9F47" w14:textId="13B19D04" w:rsidR="00CB5B17" w:rsidRPr="006E06CE" w:rsidRDefault="00464F58" w:rsidP="008750F0">
      <w:pPr>
        <w:pStyle w:val="Bullets"/>
        <w:numPr>
          <w:ilvl w:val="0"/>
          <w:numId w:val="7"/>
        </w:numPr>
        <w:ind w:left="993" w:hanging="426"/>
        <w:rPr>
          <w:noProof w:val="0"/>
          <w:color w:val="17365D"/>
        </w:rPr>
      </w:pPr>
      <w:r w:rsidRPr="00D613A6">
        <w:rPr>
          <w:noProof w:val="0"/>
          <w:color w:val="17365D"/>
        </w:rPr>
        <w:t>programm</w:t>
      </w:r>
      <w:r w:rsidR="00B249BD" w:rsidRPr="00D613A6">
        <w:rPr>
          <w:noProof w:val="0"/>
          <w:color w:val="17365D"/>
        </w:rPr>
        <w:t>ā</w:t>
      </w:r>
      <w:r w:rsidRPr="00D613A6">
        <w:rPr>
          <w:noProof w:val="0"/>
          <w:color w:val="17365D"/>
        </w:rPr>
        <w:t xml:space="preserve"> “Nodarbinātības speciālais budžets” </w:t>
      </w:r>
      <w:r w:rsidR="00B249BD" w:rsidRPr="00D613A6">
        <w:rPr>
          <w:noProof w:val="0"/>
          <w:color w:val="17365D"/>
        </w:rPr>
        <w:t xml:space="preserve">izdevumi ir </w:t>
      </w:r>
      <w:r w:rsidR="0099789B" w:rsidRPr="00D613A6">
        <w:rPr>
          <w:noProof w:val="0"/>
          <w:color w:val="17365D"/>
        </w:rPr>
        <w:t>229</w:t>
      </w:r>
      <w:r w:rsidR="00A6274B" w:rsidRPr="00D613A6">
        <w:rPr>
          <w:noProof w:val="0"/>
          <w:color w:val="17365D"/>
        </w:rPr>
        <w:t>,</w:t>
      </w:r>
      <w:r w:rsidR="0099789B" w:rsidRPr="00D613A6">
        <w:rPr>
          <w:noProof w:val="0"/>
          <w:color w:val="17365D"/>
        </w:rPr>
        <w:t>7</w:t>
      </w:r>
      <w:r w:rsidR="009957FA" w:rsidRPr="00D613A6">
        <w:rPr>
          <w:noProof w:val="0"/>
          <w:color w:val="17365D"/>
        </w:rPr>
        <w:t>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w:t>
      </w:r>
      <w:r w:rsidR="00681835" w:rsidRPr="00D613A6">
        <w:rPr>
          <w:noProof w:val="0"/>
          <w:color w:val="17365D"/>
        </w:rPr>
        <w:t>5</w:t>
      </w:r>
      <w:r w:rsidR="00A07DD3" w:rsidRPr="00D613A6">
        <w:rPr>
          <w:noProof w:val="0"/>
          <w:color w:val="17365D"/>
        </w:rPr>
        <w:t>,</w:t>
      </w:r>
      <w:r w:rsidR="00681835" w:rsidRPr="00D613A6">
        <w:rPr>
          <w:noProof w:val="0"/>
          <w:color w:val="17365D"/>
        </w:rPr>
        <w:t>0</w:t>
      </w:r>
      <w:r w:rsidRPr="00D613A6">
        <w:rPr>
          <w:noProof w:val="0"/>
          <w:color w:val="17365D"/>
        </w:rPr>
        <w:t> </w:t>
      </w:r>
      <w:r w:rsidR="00A07DD3" w:rsidRPr="00D613A6">
        <w:rPr>
          <w:noProof w:val="0"/>
          <w:color w:val="17365D"/>
        </w:rPr>
        <w:t>%</w:t>
      </w:r>
      <w:r w:rsidRPr="00D613A6">
        <w:rPr>
          <w:noProof w:val="0"/>
          <w:color w:val="17365D"/>
        </w:rPr>
        <w:t xml:space="preserve"> no izdevumiem</w:t>
      </w:r>
      <w:r w:rsidR="00A07DD3" w:rsidRPr="00D613A6">
        <w:rPr>
          <w:noProof w:val="0"/>
          <w:color w:val="17365D"/>
        </w:rPr>
        <w:t xml:space="preserve">, </w:t>
      </w:r>
      <w:r w:rsidR="005779F2" w:rsidRPr="00D613A6">
        <w:rPr>
          <w:noProof w:val="0"/>
          <w:color w:val="17365D"/>
        </w:rPr>
        <w:t xml:space="preserve">palielinājās veiktie </w:t>
      </w:r>
      <w:r w:rsidR="00CB5B17" w:rsidRPr="00D613A6">
        <w:rPr>
          <w:noProof w:val="0"/>
          <w:color w:val="17365D"/>
        </w:rPr>
        <w:t>izdevumi saistībā ar bezdarbnieka pabalst</w:t>
      </w:r>
      <w:r w:rsidR="00B249BD" w:rsidRPr="00D613A6">
        <w:rPr>
          <w:noProof w:val="0"/>
          <w:color w:val="17365D"/>
        </w:rPr>
        <w:t>u</w:t>
      </w:r>
      <w:r w:rsidR="0081016B" w:rsidRPr="00D613A6">
        <w:rPr>
          <w:noProof w:val="0"/>
          <w:color w:val="17365D"/>
        </w:rPr>
        <w:t xml:space="preserve">, jo pieauga </w:t>
      </w:r>
      <w:r w:rsidR="005779F2" w:rsidRPr="00D613A6">
        <w:rPr>
          <w:noProof w:val="0"/>
          <w:color w:val="17365D"/>
        </w:rPr>
        <w:t>vidēj</w:t>
      </w:r>
      <w:r w:rsidR="0081016B" w:rsidRPr="00D613A6">
        <w:rPr>
          <w:noProof w:val="0"/>
          <w:color w:val="17365D"/>
        </w:rPr>
        <w:t>ais</w:t>
      </w:r>
      <w:r w:rsidR="005779F2" w:rsidRPr="00D613A6">
        <w:rPr>
          <w:noProof w:val="0"/>
          <w:color w:val="17365D"/>
        </w:rPr>
        <w:t xml:space="preserve"> apmēr</w:t>
      </w:r>
      <w:r w:rsidR="0081016B" w:rsidRPr="00D613A6">
        <w:rPr>
          <w:noProof w:val="0"/>
          <w:color w:val="17365D"/>
        </w:rPr>
        <w:t>s</w:t>
      </w:r>
      <w:r w:rsidR="005779F2" w:rsidRPr="00D613A6">
        <w:rPr>
          <w:noProof w:val="0"/>
          <w:color w:val="17365D"/>
        </w:rPr>
        <w:t xml:space="preserve"> mēnesī par </w:t>
      </w:r>
      <w:r w:rsidR="00777028" w:rsidRPr="00D613A6">
        <w:rPr>
          <w:noProof w:val="0"/>
          <w:color w:val="17365D"/>
        </w:rPr>
        <w:t>43</w:t>
      </w:r>
      <w:r w:rsidR="005779F2" w:rsidRPr="00D613A6">
        <w:rPr>
          <w:noProof w:val="0"/>
          <w:color w:val="17365D"/>
        </w:rPr>
        <w:t>,</w:t>
      </w:r>
      <w:r w:rsidR="00777028" w:rsidRPr="00D613A6">
        <w:rPr>
          <w:noProof w:val="0"/>
          <w:color w:val="17365D"/>
        </w:rPr>
        <w:t>04</w:t>
      </w:r>
      <w:r w:rsidR="005779F2" w:rsidRPr="00D613A6">
        <w:rPr>
          <w:noProof w:val="0"/>
          <w:color w:val="17365D"/>
        </w:rPr>
        <w:t xml:space="preserve"> </w:t>
      </w:r>
      <w:r w:rsidR="005779F2" w:rsidRPr="006E06CE">
        <w:rPr>
          <w:noProof w:val="0"/>
          <w:color w:val="17365D"/>
        </w:rPr>
        <w:t>euro</w:t>
      </w:r>
      <w:r w:rsidR="00777028" w:rsidRPr="00D613A6">
        <w:rPr>
          <w:noProof w:val="0"/>
          <w:color w:val="17365D"/>
        </w:rPr>
        <w:t xml:space="preserve"> jeb 10,13 </w:t>
      </w:r>
      <w:r w:rsidR="005779F2" w:rsidRPr="00D613A6">
        <w:rPr>
          <w:noProof w:val="0"/>
          <w:color w:val="17365D"/>
        </w:rPr>
        <w:t>%</w:t>
      </w:r>
      <w:r w:rsidR="00CB5B17" w:rsidRPr="00D613A6">
        <w:rPr>
          <w:noProof w:val="0"/>
          <w:color w:val="17365D"/>
        </w:rPr>
        <w:t>;</w:t>
      </w:r>
    </w:p>
    <w:p w14:paraId="420A4CF8" w14:textId="546C6F18" w:rsidR="00CB5B17" w:rsidRPr="006E06CE" w:rsidRDefault="00464F58" w:rsidP="008750F0">
      <w:pPr>
        <w:pStyle w:val="Bullets"/>
        <w:numPr>
          <w:ilvl w:val="0"/>
          <w:numId w:val="7"/>
        </w:numPr>
        <w:ind w:left="993" w:hanging="426"/>
        <w:rPr>
          <w:noProof w:val="0"/>
          <w:color w:val="17365D"/>
        </w:rPr>
      </w:pPr>
      <w:r w:rsidRPr="00D613A6">
        <w:rPr>
          <w:noProof w:val="0"/>
          <w:color w:val="17365D"/>
        </w:rPr>
        <w:t>programm</w:t>
      </w:r>
      <w:r w:rsidR="00B249BD" w:rsidRPr="00D613A6">
        <w:rPr>
          <w:noProof w:val="0"/>
          <w:color w:val="17365D"/>
        </w:rPr>
        <w:t>ā</w:t>
      </w:r>
      <w:r w:rsidRPr="00D613A6">
        <w:rPr>
          <w:noProof w:val="0"/>
          <w:color w:val="17365D"/>
        </w:rPr>
        <w:t xml:space="preserve"> “Darba negadījumu speciālais budžets”</w:t>
      </w:r>
      <w:r w:rsidR="0039316E" w:rsidRPr="00D613A6">
        <w:rPr>
          <w:noProof w:val="0"/>
          <w:color w:val="17365D"/>
        </w:rPr>
        <w:t xml:space="preserve"> </w:t>
      </w:r>
      <w:r w:rsidR="00A07DD3" w:rsidRPr="00D613A6">
        <w:rPr>
          <w:noProof w:val="0"/>
          <w:color w:val="17365D"/>
        </w:rPr>
        <w:t xml:space="preserve">– </w:t>
      </w:r>
      <w:r w:rsidR="0099789B" w:rsidRPr="00D613A6">
        <w:rPr>
          <w:noProof w:val="0"/>
          <w:color w:val="17365D"/>
        </w:rPr>
        <w:t>105</w:t>
      </w:r>
      <w:r w:rsidR="00A07DD3" w:rsidRPr="00D613A6">
        <w:rPr>
          <w:noProof w:val="0"/>
          <w:color w:val="17365D"/>
        </w:rPr>
        <w:t>,</w:t>
      </w:r>
      <w:r w:rsidR="0099789B" w:rsidRPr="00D613A6">
        <w:rPr>
          <w:noProof w:val="0"/>
          <w:color w:val="17365D"/>
        </w:rPr>
        <w:t>1</w:t>
      </w:r>
      <w:r w:rsidR="009957FA" w:rsidRPr="00D613A6">
        <w:rPr>
          <w:noProof w:val="0"/>
          <w:color w:val="17365D"/>
        </w:rPr>
        <w:t xml:space="preserve">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w:t>
      </w:r>
      <w:r w:rsidR="0042624D" w:rsidRPr="00D613A6">
        <w:rPr>
          <w:noProof w:val="0"/>
          <w:color w:val="17365D"/>
        </w:rPr>
        <w:t>2</w:t>
      </w:r>
      <w:r w:rsidR="00A07DD3" w:rsidRPr="00D613A6">
        <w:rPr>
          <w:noProof w:val="0"/>
          <w:color w:val="17365D"/>
        </w:rPr>
        <w:t>,</w:t>
      </w:r>
      <w:r w:rsidR="0042624D" w:rsidRPr="00D613A6">
        <w:rPr>
          <w:noProof w:val="0"/>
          <w:color w:val="17365D"/>
        </w:rPr>
        <w:t xml:space="preserve">29 </w:t>
      </w:r>
      <w:r w:rsidRPr="00D613A6">
        <w:rPr>
          <w:noProof w:val="0"/>
          <w:color w:val="17365D"/>
        </w:rPr>
        <w:t>% no izdevumiem</w:t>
      </w:r>
      <w:r w:rsidR="00CB5B17" w:rsidRPr="00D613A6">
        <w:rPr>
          <w:noProof w:val="0"/>
          <w:color w:val="17365D"/>
        </w:rPr>
        <w:t xml:space="preserve">, </w:t>
      </w:r>
      <w:r w:rsidR="005779F2" w:rsidRPr="00D613A6">
        <w:rPr>
          <w:noProof w:val="0"/>
          <w:color w:val="17365D"/>
        </w:rPr>
        <w:t xml:space="preserve">palielinājās </w:t>
      </w:r>
      <w:r w:rsidR="00D73B6C" w:rsidRPr="00D613A6">
        <w:rPr>
          <w:noProof w:val="0"/>
          <w:color w:val="17365D"/>
        </w:rPr>
        <w:t>veikti</w:t>
      </w:r>
      <w:r w:rsidR="005779F2" w:rsidRPr="00D613A6">
        <w:rPr>
          <w:noProof w:val="0"/>
          <w:color w:val="17365D"/>
        </w:rPr>
        <w:t>e</w:t>
      </w:r>
      <w:r w:rsidR="00D73B6C" w:rsidRPr="00D613A6">
        <w:rPr>
          <w:noProof w:val="0"/>
          <w:color w:val="17365D"/>
        </w:rPr>
        <w:t xml:space="preserve"> izdevumi saistībā ar darbspēju zaudējumiem</w:t>
      </w:r>
      <w:r w:rsidR="00B249BD" w:rsidRPr="00D613A6">
        <w:rPr>
          <w:noProof w:val="0"/>
          <w:color w:val="17365D"/>
        </w:rPr>
        <w:t>,</w:t>
      </w:r>
      <w:r w:rsidR="005779F2" w:rsidRPr="00D613A6">
        <w:rPr>
          <w:noProof w:val="0"/>
          <w:color w:val="17365D"/>
        </w:rPr>
        <w:t xml:space="preserve"> </w:t>
      </w:r>
      <w:r w:rsidR="0081016B" w:rsidRPr="00D613A6">
        <w:rPr>
          <w:noProof w:val="0"/>
          <w:color w:val="17365D"/>
        </w:rPr>
        <w:t>jo pieauga</w:t>
      </w:r>
      <w:r w:rsidR="005779F2" w:rsidRPr="00D613A6">
        <w:rPr>
          <w:noProof w:val="0"/>
          <w:color w:val="17365D"/>
        </w:rPr>
        <w:t xml:space="preserve"> vidēj</w:t>
      </w:r>
      <w:r w:rsidR="0081016B" w:rsidRPr="00D613A6">
        <w:rPr>
          <w:noProof w:val="0"/>
          <w:color w:val="17365D"/>
        </w:rPr>
        <w:t>ais</w:t>
      </w:r>
      <w:r w:rsidR="005779F2" w:rsidRPr="00D613A6">
        <w:rPr>
          <w:noProof w:val="0"/>
          <w:color w:val="17365D"/>
        </w:rPr>
        <w:t xml:space="preserve"> apmēr</w:t>
      </w:r>
      <w:r w:rsidR="0081016B" w:rsidRPr="00D613A6">
        <w:rPr>
          <w:noProof w:val="0"/>
          <w:color w:val="17365D"/>
        </w:rPr>
        <w:t>s</w:t>
      </w:r>
      <w:r w:rsidR="005779F2" w:rsidRPr="00D613A6">
        <w:rPr>
          <w:noProof w:val="0"/>
          <w:color w:val="17365D"/>
        </w:rPr>
        <w:t xml:space="preserve"> mēnesī par </w:t>
      </w:r>
      <w:r w:rsidR="00777028" w:rsidRPr="00D613A6">
        <w:rPr>
          <w:noProof w:val="0"/>
          <w:color w:val="17365D"/>
        </w:rPr>
        <w:t>30</w:t>
      </w:r>
      <w:r w:rsidR="005779F2" w:rsidRPr="00D613A6">
        <w:rPr>
          <w:noProof w:val="0"/>
          <w:color w:val="17365D"/>
        </w:rPr>
        <w:t>,</w:t>
      </w:r>
      <w:r w:rsidR="00777028" w:rsidRPr="00D613A6">
        <w:rPr>
          <w:noProof w:val="0"/>
          <w:color w:val="17365D"/>
        </w:rPr>
        <w:t>3</w:t>
      </w:r>
      <w:r w:rsidR="005779F2" w:rsidRPr="00D613A6">
        <w:rPr>
          <w:noProof w:val="0"/>
          <w:color w:val="17365D"/>
        </w:rPr>
        <w:t xml:space="preserve"> </w:t>
      </w:r>
      <w:r w:rsidR="005779F2" w:rsidRPr="006E06CE">
        <w:rPr>
          <w:noProof w:val="0"/>
          <w:color w:val="17365D"/>
        </w:rPr>
        <w:t>euro</w:t>
      </w:r>
      <w:r w:rsidR="005779F2" w:rsidRPr="00D613A6">
        <w:rPr>
          <w:noProof w:val="0"/>
          <w:color w:val="17365D"/>
        </w:rPr>
        <w:t xml:space="preserve"> jeb </w:t>
      </w:r>
      <w:r w:rsidR="00777028" w:rsidRPr="00D613A6">
        <w:rPr>
          <w:noProof w:val="0"/>
          <w:color w:val="17365D"/>
        </w:rPr>
        <w:t>5</w:t>
      </w:r>
      <w:r w:rsidR="005779F2" w:rsidRPr="00D613A6">
        <w:rPr>
          <w:noProof w:val="0"/>
          <w:color w:val="17365D"/>
        </w:rPr>
        <w:t>,9</w:t>
      </w:r>
      <w:r w:rsidR="00777028" w:rsidRPr="00D613A6">
        <w:rPr>
          <w:noProof w:val="0"/>
          <w:color w:val="17365D"/>
        </w:rPr>
        <w:t xml:space="preserve">9 </w:t>
      </w:r>
      <w:r w:rsidR="005779F2" w:rsidRPr="00D613A6">
        <w:rPr>
          <w:noProof w:val="0"/>
          <w:color w:val="17365D"/>
        </w:rPr>
        <w:t>%</w:t>
      </w:r>
      <w:r w:rsidR="00D73B6C" w:rsidRPr="00D613A6">
        <w:rPr>
          <w:noProof w:val="0"/>
          <w:color w:val="17365D"/>
        </w:rPr>
        <w:t xml:space="preserve"> </w:t>
      </w:r>
      <w:r w:rsidR="0081016B" w:rsidRPr="00D613A6">
        <w:rPr>
          <w:noProof w:val="0"/>
          <w:color w:val="17365D"/>
        </w:rPr>
        <w:t>un</w:t>
      </w:r>
      <w:r w:rsidR="00D73B6C" w:rsidRPr="00D613A6">
        <w:rPr>
          <w:noProof w:val="0"/>
          <w:color w:val="17365D"/>
        </w:rPr>
        <w:t xml:space="preserve"> palielinājās saņēmēju skaits </w:t>
      </w:r>
      <w:r w:rsidR="00B11377" w:rsidRPr="00D613A6">
        <w:rPr>
          <w:noProof w:val="0"/>
          <w:color w:val="17365D"/>
        </w:rPr>
        <w:t xml:space="preserve">vidēji </w:t>
      </w:r>
      <w:r w:rsidR="00D73B6C" w:rsidRPr="00D613A6">
        <w:rPr>
          <w:noProof w:val="0"/>
          <w:color w:val="17365D"/>
        </w:rPr>
        <w:t xml:space="preserve">par </w:t>
      </w:r>
      <w:r w:rsidR="0096604C" w:rsidRPr="00D613A6">
        <w:rPr>
          <w:noProof w:val="0"/>
          <w:color w:val="17365D"/>
        </w:rPr>
        <w:t>1 012</w:t>
      </w:r>
      <w:r w:rsidR="00B249BD" w:rsidRPr="00D613A6">
        <w:rPr>
          <w:noProof w:val="0"/>
          <w:color w:val="17365D"/>
        </w:rPr>
        <w:t xml:space="preserve"> </w:t>
      </w:r>
      <w:r w:rsidR="00D73B6C" w:rsidRPr="00D613A6">
        <w:rPr>
          <w:noProof w:val="0"/>
          <w:color w:val="17365D"/>
        </w:rPr>
        <w:t>person</w:t>
      </w:r>
      <w:r w:rsidR="00B249BD" w:rsidRPr="00D613A6">
        <w:rPr>
          <w:noProof w:val="0"/>
          <w:color w:val="17365D"/>
        </w:rPr>
        <w:t>ām</w:t>
      </w:r>
      <w:r w:rsidR="00D73B6C" w:rsidRPr="00D613A6">
        <w:rPr>
          <w:noProof w:val="0"/>
          <w:color w:val="17365D"/>
        </w:rPr>
        <w:t xml:space="preserve"> mēnesī, </w:t>
      </w:r>
      <w:r w:rsidR="0081016B" w:rsidRPr="00D613A6">
        <w:rPr>
          <w:noProof w:val="0"/>
          <w:color w:val="17365D"/>
        </w:rPr>
        <w:t xml:space="preserve">palielinājās </w:t>
      </w:r>
      <w:r w:rsidR="00D73B6C" w:rsidRPr="00D613A6">
        <w:rPr>
          <w:noProof w:val="0"/>
          <w:color w:val="17365D"/>
        </w:rPr>
        <w:t>veikti</w:t>
      </w:r>
      <w:r w:rsidR="0081016B" w:rsidRPr="00D613A6">
        <w:rPr>
          <w:noProof w:val="0"/>
          <w:color w:val="17365D"/>
        </w:rPr>
        <w:t>e</w:t>
      </w:r>
      <w:r w:rsidR="00D73B6C" w:rsidRPr="00D613A6">
        <w:rPr>
          <w:noProof w:val="0"/>
          <w:color w:val="17365D"/>
        </w:rPr>
        <w:t xml:space="preserve"> izdevumi saistībā ar</w:t>
      </w:r>
      <w:r w:rsidR="00CB5B17" w:rsidRPr="00D613A6">
        <w:rPr>
          <w:noProof w:val="0"/>
          <w:color w:val="17365D"/>
        </w:rPr>
        <w:t xml:space="preserve"> slimības pabalst</w:t>
      </w:r>
      <w:r w:rsidR="00D73B6C" w:rsidRPr="00D613A6">
        <w:rPr>
          <w:noProof w:val="0"/>
          <w:color w:val="17365D"/>
        </w:rPr>
        <w:t>iem</w:t>
      </w:r>
      <w:r w:rsidR="0081016B" w:rsidRPr="00D613A6">
        <w:rPr>
          <w:noProof w:val="0"/>
          <w:color w:val="17365D"/>
        </w:rPr>
        <w:t xml:space="preserve">, </w:t>
      </w:r>
      <w:r w:rsidR="00D73B6C" w:rsidRPr="00D613A6">
        <w:rPr>
          <w:noProof w:val="0"/>
          <w:color w:val="17365D"/>
        </w:rPr>
        <w:t>jo</w:t>
      </w:r>
      <w:r w:rsidR="00CB5B17" w:rsidRPr="00D613A6">
        <w:rPr>
          <w:noProof w:val="0"/>
          <w:color w:val="17365D"/>
        </w:rPr>
        <w:t xml:space="preserve"> </w:t>
      </w:r>
      <w:r w:rsidR="00D73B6C" w:rsidRPr="00D613A6">
        <w:rPr>
          <w:noProof w:val="0"/>
          <w:color w:val="17365D"/>
        </w:rPr>
        <w:t xml:space="preserve">palielinājās saņēmēju skaits </w:t>
      </w:r>
      <w:r w:rsidR="00B11377" w:rsidRPr="00D613A6">
        <w:rPr>
          <w:noProof w:val="0"/>
          <w:color w:val="17365D"/>
        </w:rPr>
        <w:t xml:space="preserve">vidēji </w:t>
      </w:r>
      <w:r w:rsidR="00D73B6C" w:rsidRPr="00D613A6">
        <w:rPr>
          <w:noProof w:val="0"/>
          <w:color w:val="17365D"/>
        </w:rPr>
        <w:t xml:space="preserve">par </w:t>
      </w:r>
      <w:r w:rsidR="00F03AAE" w:rsidRPr="00D613A6">
        <w:rPr>
          <w:noProof w:val="0"/>
          <w:color w:val="17365D"/>
        </w:rPr>
        <w:t>348</w:t>
      </w:r>
      <w:r w:rsidR="00D73B6C" w:rsidRPr="00D613A6">
        <w:rPr>
          <w:noProof w:val="0"/>
          <w:color w:val="17365D"/>
        </w:rPr>
        <w:t xml:space="preserve"> personām mēnesī</w:t>
      </w:r>
      <w:r w:rsidR="00CC16F7" w:rsidRPr="00D613A6">
        <w:rPr>
          <w:noProof w:val="0"/>
          <w:color w:val="17365D"/>
        </w:rPr>
        <w:t>;</w:t>
      </w:r>
    </w:p>
    <w:p w14:paraId="4E264E31" w14:textId="54A1CFC7" w:rsidR="0099642C" w:rsidRPr="006E06CE" w:rsidRDefault="00464F58" w:rsidP="006E06CE">
      <w:pPr>
        <w:pStyle w:val="Bullets"/>
        <w:numPr>
          <w:ilvl w:val="0"/>
          <w:numId w:val="7"/>
        </w:numPr>
        <w:ind w:left="993" w:hanging="426"/>
        <w:rPr>
          <w:noProof w:val="0"/>
          <w:color w:val="17365D"/>
        </w:rPr>
      </w:pPr>
      <w:r w:rsidRPr="00D613A6">
        <w:rPr>
          <w:noProof w:val="0"/>
          <w:color w:val="17365D"/>
        </w:rPr>
        <w:t>programm</w:t>
      </w:r>
      <w:r w:rsidR="005A73EA" w:rsidRPr="00D613A6">
        <w:rPr>
          <w:noProof w:val="0"/>
          <w:color w:val="17365D"/>
        </w:rPr>
        <w:t>ā</w:t>
      </w:r>
      <w:r w:rsidRPr="00D613A6">
        <w:rPr>
          <w:noProof w:val="0"/>
          <w:color w:val="17365D"/>
        </w:rPr>
        <w:t xml:space="preserve"> “Valsts sociālās apdrošināšanas aģentūras speciālais budžets” </w:t>
      </w:r>
      <w:r w:rsidR="005A73EA" w:rsidRPr="00D613A6">
        <w:rPr>
          <w:noProof w:val="0"/>
          <w:color w:val="17365D"/>
        </w:rPr>
        <w:t xml:space="preserve">sociālās apdrošināšanas budžeta administrēšanai </w:t>
      </w:r>
      <w:r w:rsidR="00B249BD" w:rsidRPr="00D613A6">
        <w:rPr>
          <w:noProof w:val="0"/>
          <w:color w:val="17365D"/>
        </w:rPr>
        <w:t xml:space="preserve">izlietoti </w:t>
      </w:r>
      <w:r w:rsidR="002D6033" w:rsidRPr="00D613A6">
        <w:rPr>
          <w:noProof w:val="0"/>
          <w:color w:val="17365D"/>
        </w:rPr>
        <w:t>2</w:t>
      </w:r>
      <w:r w:rsidR="0081016B" w:rsidRPr="00D613A6">
        <w:rPr>
          <w:noProof w:val="0"/>
          <w:color w:val="17365D"/>
        </w:rPr>
        <w:t>7</w:t>
      </w:r>
      <w:r w:rsidR="00A07DD3" w:rsidRPr="00D613A6">
        <w:rPr>
          <w:noProof w:val="0"/>
          <w:color w:val="17365D"/>
        </w:rPr>
        <w:t>,</w:t>
      </w:r>
      <w:r w:rsidR="0099789B" w:rsidRPr="00D613A6">
        <w:rPr>
          <w:noProof w:val="0"/>
          <w:color w:val="17365D"/>
        </w:rPr>
        <w:t>8</w:t>
      </w:r>
      <w:r w:rsidR="009957FA" w:rsidRPr="00D613A6">
        <w:rPr>
          <w:noProof w:val="0"/>
          <w:color w:val="17365D"/>
        </w:rPr>
        <w:t>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0,</w:t>
      </w:r>
      <w:r w:rsidR="00CF559A" w:rsidRPr="00D613A6">
        <w:rPr>
          <w:noProof w:val="0"/>
          <w:color w:val="17365D"/>
        </w:rPr>
        <w:t>6</w:t>
      </w:r>
      <w:r w:rsidR="00681835" w:rsidRPr="00D613A6">
        <w:rPr>
          <w:noProof w:val="0"/>
          <w:color w:val="17365D"/>
        </w:rPr>
        <w:t>1</w:t>
      </w:r>
      <w:r w:rsidR="009957FA" w:rsidRPr="00D613A6">
        <w:rPr>
          <w:noProof w:val="0"/>
          <w:color w:val="17365D"/>
        </w:rPr>
        <w:t> </w:t>
      </w:r>
      <w:r w:rsidR="00A07DD3" w:rsidRPr="00D613A6">
        <w:rPr>
          <w:noProof w:val="0"/>
          <w:color w:val="17365D"/>
        </w:rPr>
        <w:t xml:space="preserve">% </w:t>
      </w:r>
      <w:r w:rsidRPr="00D613A6">
        <w:rPr>
          <w:noProof w:val="0"/>
          <w:color w:val="17365D"/>
        </w:rPr>
        <w:t>no izdevumiem</w:t>
      </w:r>
      <w:r w:rsidR="00A07DD3" w:rsidRPr="00D613A6">
        <w:rPr>
          <w:noProof w:val="0"/>
          <w:color w:val="17365D"/>
        </w:rPr>
        <w:t>.</w:t>
      </w:r>
    </w:p>
    <w:bookmarkEnd w:id="1"/>
    <w:p w14:paraId="4830FF02" w14:textId="58AC2832" w:rsidR="003A4341" w:rsidRPr="00D613A6" w:rsidRDefault="00112728" w:rsidP="00B556DF">
      <w:pPr>
        <w:pStyle w:val="Heading1"/>
        <w:rPr>
          <w:rFonts w:cs="Times New Roman"/>
          <w:noProof w:val="0"/>
          <w:color w:val="17365D"/>
        </w:rPr>
      </w:pPr>
      <w:r w:rsidRPr="00D613A6">
        <w:rPr>
          <w:rFonts w:cs="Times New Roman"/>
          <w:noProof w:val="0"/>
          <w:color w:val="17365D"/>
        </w:rPr>
        <w:t>Valsts konsolidēt</w:t>
      </w:r>
      <w:r w:rsidR="00E25224" w:rsidRPr="00D613A6">
        <w:rPr>
          <w:rFonts w:cs="Times New Roman"/>
          <w:noProof w:val="0"/>
          <w:color w:val="17365D"/>
        </w:rPr>
        <w:t>ā</w:t>
      </w:r>
      <w:r w:rsidRPr="00D613A6">
        <w:rPr>
          <w:rFonts w:cs="Times New Roman"/>
          <w:noProof w:val="0"/>
          <w:color w:val="17365D"/>
        </w:rPr>
        <w:t xml:space="preserve"> </w:t>
      </w:r>
      <w:r w:rsidR="003A4341" w:rsidRPr="00D613A6">
        <w:rPr>
          <w:rFonts w:cs="Times New Roman"/>
          <w:noProof w:val="0"/>
          <w:color w:val="17365D"/>
        </w:rPr>
        <w:t xml:space="preserve">ziedojumu un dāvinājumu </w:t>
      </w:r>
      <w:r w:rsidR="00E25224" w:rsidRPr="00D613A6">
        <w:rPr>
          <w:rFonts w:cs="Times New Roman"/>
          <w:noProof w:val="0"/>
          <w:color w:val="17365D"/>
        </w:rPr>
        <w:t>izpilde</w:t>
      </w:r>
      <w:r w:rsidR="003A4341" w:rsidRPr="00D613A6">
        <w:rPr>
          <w:rFonts w:cs="Times New Roman"/>
          <w:noProof w:val="0"/>
          <w:color w:val="17365D"/>
        </w:rPr>
        <w:t xml:space="preserve"> </w:t>
      </w:r>
    </w:p>
    <w:p w14:paraId="7066F6E6" w14:textId="22FFFF4D" w:rsidR="00FC5CF2" w:rsidRPr="00D613A6" w:rsidRDefault="00B556DF" w:rsidP="00D45F2B">
      <w:pPr>
        <w:pStyle w:val="Pamatteksts1"/>
        <w:spacing w:after="0"/>
        <w:rPr>
          <w:noProof w:val="0"/>
          <w:color w:val="17365D"/>
        </w:rPr>
      </w:pPr>
      <w:r w:rsidRPr="00D613A6">
        <w:rPr>
          <w:b/>
          <w:color w:val="17365D"/>
        </w:rPr>
        <mc:AlternateContent>
          <mc:Choice Requires="wps">
            <w:drawing>
              <wp:anchor distT="0" distB="0" distL="114300" distR="114300" simplePos="0" relativeHeight="251654656" behindDoc="1" locked="0" layoutInCell="1" allowOverlap="1" wp14:anchorId="7A88531F" wp14:editId="5F8BC852">
                <wp:simplePos x="0" y="0"/>
                <wp:positionH relativeFrom="column">
                  <wp:posOffset>4262120</wp:posOffset>
                </wp:positionH>
                <wp:positionV relativeFrom="paragraph">
                  <wp:posOffset>24511</wp:posOffset>
                </wp:positionV>
                <wp:extent cx="1681200" cy="745200"/>
                <wp:effectExtent l="0" t="0" r="14605" b="17145"/>
                <wp:wrapThrough wrapText="bothSides">
                  <wp:wrapPolygon edited="0">
                    <wp:start x="0" y="0"/>
                    <wp:lineTo x="0" y="21545"/>
                    <wp:lineTo x="21543" y="21545"/>
                    <wp:lineTo x="21543" y="0"/>
                    <wp:lineTo x="0" y="0"/>
                  </wp:wrapPolygon>
                </wp:wrapThrough>
                <wp:docPr id="35" name="Rectangle 35"/>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55BE94B8" w14:textId="77777777" w:rsidR="000A5BFC" w:rsidRPr="00815A40" w:rsidRDefault="000A5BFC"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40A0595" w:rsidR="000A5BFC" w:rsidRPr="00815A40" w:rsidRDefault="000A5BFC" w:rsidP="004B1D14">
                            <w:pPr>
                              <w:ind w:firstLine="0"/>
                              <w:jc w:val="center"/>
                              <w:rPr>
                                <w:color w:val="17365D"/>
                              </w:rPr>
                            </w:pPr>
                            <w:r>
                              <w:rPr>
                                <w:b/>
                                <w:bCs/>
                                <w:color w:val="17365D"/>
                              </w:rPr>
                              <w:t>1 070 009</w:t>
                            </w:r>
                            <w:r w:rsidRPr="00706126">
                              <w:rPr>
                                <w:b/>
                                <w:bCs/>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8531F" id="Rectangle 35" o:spid="_x0000_s1032" style="position:absolute;left:0;text-align:left;margin-left:335.6pt;margin-top:1.95pt;width:132.4pt;height:5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" fillcolor="window" strokecolor="#17365d" strokeweight="2pt">
                <v:stroke dashstyle="1 1"/>
                <v:textbox>
                  <w:txbxContent>
                    <w:p w14:paraId="55BE94B8" w14:textId="77777777" w:rsidR="000A5BFC" w:rsidRPr="00815A40" w:rsidRDefault="000A5BFC"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40A0595" w:rsidR="000A5BFC" w:rsidRPr="00815A40" w:rsidRDefault="000A5BFC" w:rsidP="004B1D14">
                      <w:pPr>
                        <w:ind w:firstLine="0"/>
                        <w:jc w:val="center"/>
                        <w:rPr>
                          <w:color w:val="17365D"/>
                        </w:rPr>
                      </w:pPr>
                      <w:r>
                        <w:rPr>
                          <w:b/>
                          <w:bCs/>
                          <w:color w:val="17365D"/>
                        </w:rPr>
                        <w:t>1 070 009</w:t>
                      </w:r>
                      <w:r w:rsidRPr="00706126">
                        <w:rPr>
                          <w:b/>
                          <w:bCs/>
                          <w:color w:val="17365D"/>
                        </w:rPr>
                        <w:t xml:space="preserve"> </w:t>
                      </w:r>
                      <w:r w:rsidRPr="00815A40">
                        <w:rPr>
                          <w:i/>
                          <w:color w:val="17365D"/>
                        </w:rPr>
                        <w:t>euro</w:t>
                      </w:r>
                    </w:p>
                  </w:txbxContent>
                </v:textbox>
                <w10:wrap type="through"/>
              </v:rect>
            </w:pict>
          </mc:Fallback>
        </mc:AlternateContent>
      </w:r>
      <w:r w:rsidR="003A4341" w:rsidRPr="00D613A6">
        <w:rPr>
          <w:noProof w:val="0"/>
          <w:color w:val="17365D"/>
        </w:rPr>
        <w:t xml:space="preserve">Valsts budžetā </w:t>
      </w:r>
      <w:r w:rsidR="000C7B2D" w:rsidRPr="00D613A6">
        <w:rPr>
          <w:noProof w:val="0"/>
          <w:color w:val="17365D"/>
        </w:rPr>
        <w:t>20</w:t>
      </w:r>
      <w:r w:rsidR="001D6C0C" w:rsidRPr="00D613A6">
        <w:rPr>
          <w:noProof w:val="0"/>
          <w:color w:val="17365D"/>
        </w:rPr>
        <w:t>2</w:t>
      </w:r>
      <w:r w:rsidR="00954442" w:rsidRPr="00D613A6">
        <w:rPr>
          <w:noProof w:val="0"/>
          <w:color w:val="17365D"/>
        </w:rPr>
        <w:t>4</w:t>
      </w:r>
      <w:r w:rsidR="000C7B2D" w:rsidRPr="00D613A6">
        <w:rPr>
          <w:noProof w:val="0"/>
          <w:color w:val="17365D"/>
        </w:rPr>
        <w:t>.</w:t>
      </w:r>
      <w:r w:rsidR="00C57BB0" w:rsidRPr="00D613A6">
        <w:rPr>
          <w:noProof w:val="0"/>
          <w:color w:val="17365D"/>
        </w:rPr>
        <w:t> </w:t>
      </w:r>
      <w:r w:rsidR="000C7B2D" w:rsidRPr="00D613A6">
        <w:rPr>
          <w:noProof w:val="0"/>
          <w:color w:val="17365D"/>
        </w:rPr>
        <w:t xml:space="preserve">gadā </w:t>
      </w:r>
      <w:r w:rsidR="003A4341" w:rsidRPr="00D613A6">
        <w:rPr>
          <w:b/>
          <w:bCs/>
          <w:noProof w:val="0"/>
          <w:color w:val="17365D"/>
        </w:rPr>
        <w:t xml:space="preserve">saņemti </w:t>
      </w:r>
      <w:r w:rsidR="003A4341" w:rsidRPr="00D613A6">
        <w:rPr>
          <w:bCs/>
          <w:noProof w:val="0"/>
          <w:color w:val="17365D"/>
        </w:rPr>
        <w:t>ziedojumi un dāvinājumi</w:t>
      </w:r>
      <w:r w:rsidR="003A4341" w:rsidRPr="00D613A6">
        <w:rPr>
          <w:noProof w:val="0"/>
          <w:color w:val="17365D"/>
        </w:rPr>
        <w:t xml:space="preserve"> </w:t>
      </w:r>
      <w:r w:rsidR="00954442" w:rsidRPr="00D613A6">
        <w:rPr>
          <w:noProof w:val="0"/>
          <w:color w:val="17365D"/>
        </w:rPr>
        <w:t>1</w:t>
      </w:r>
      <w:r w:rsidR="003A4341" w:rsidRPr="00D613A6">
        <w:rPr>
          <w:noProof w:val="0"/>
          <w:color w:val="17365D"/>
        </w:rPr>
        <w:t>,</w:t>
      </w:r>
      <w:r w:rsidR="00954442" w:rsidRPr="00D613A6">
        <w:rPr>
          <w:noProof w:val="0"/>
          <w:color w:val="17365D"/>
        </w:rPr>
        <w:t>1</w:t>
      </w:r>
      <w:r w:rsidR="00A23577" w:rsidRPr="00D613A6">
        <w:rPr>
          <w:noProof w:val="0"/>
          <w:color w:val="17365D"/>
        </w:rPr>
        <w:t> </w:t>
      </w:r>
      <w:r w:rsidR="003A4341" w:rsidRPr="00D613A6">
        <w:rPr>
          <w:noProof w:val="0"/>
          <w:color w:val="17365D"/>
        </w:rPr>
        <w:t>milj</w:t>
      </w:r>
      <w:r w:rsidR="008B1F5D" w:rsidRPr="00D613A6">
        <w:rPr>
          <w:noProof w:val="0"/>
          <w:color w:val="17365D"/>
        </w:rPr>
        <w:t>. </w:t>
      </w:r>
      <w:r w:rsidR="00EF7B9A" w:rsidRPr="00D613A6">
        <w:rPr>
          <w:i/>
          <w:noProof w:val="0"/>
          <w:color w:val="17365D"/>
        </w:rPr>
        <w:t>euro</w:t>
      </w:r>
      <w:r w:rsidR="003A4341" w:rsidRPr="00D613A6">
        <w:rPr>
          <w:noProof w:val="0"/>
          <w:color w:val="17365D"/>
        </w:rPr>
        <w:t xml:space="preserve"> vērtībā, kas</w:t>
      </w:r>
      <w:r w:rsidR="009213CE" w:rsidRPr="00D613A6">
        <w:rPr>
          <w:noProof w:val="0"/>
          <w:color w:val="17365D"/>
        </w:rPr>
        <w:t>,</w:t>
      </w:r>
      <w:r w:rsidR="003A4341" w:rsidRPr="00D613A6">
        <w:rPr>
          <w:noProof w:val="0"/>
          <w:color w:val="17365D"/>
        </w:rPr>
        <w:t xml:space="preserve"> </w:t>
      </w:r>
      <w:r w:rsidR="0011526D" w:rsidRPr="00D613A6">
        <w:rPr>
          <w:noProof w:val="0"/>
          <w:color w:val="17365D"/>
        </w:rPr>
        <w:t xml:space="preserve">salīdzinot </w:t>
      </w:r>
      <w:r w:rsidR="008864BD" w:rsidRPr="00D613A6">
        <w:rPr>
          <w:noProof w:val="0"/>
          <w:color w:val="17365D"/>
        </w:rPr>
        <w:t xml:space="preserve">ar </w:t>
      </w:r>
      <w:r w:rsidR="0011526D" w:rsidRPr="00D613A6">
        <w:rPr>
          <w:noProof w:val="0"/>
          <w:color w:val="17365D"/>
        </w:rPr>
        <w:t>20</w:t>
      </w:r>
      <w:r w:rsidR="00D53325" w:rsidRPr="00D613A6">
        <w:rPr>
          <w:noProof w:val="0"/>
          <w:color w:val="17365D"/>
        </w:rPr>
        <w:t>2</w:t>
      </w:r>
      <w:r w:rsidR="00954442" w:rsidRPr="00D613A6">
        <w:rPr>
          <w:noProof w:val="0"/>
          <w:color w:val="17365D"/>
        </w:rPr>
        <w:t>3</w:t>
      </w:r>
      <w:r w:rsidR="0011526D" w:rsidRPr="00D613A6">
        <w:rPr>
          <w:noProof w:val="0"/>
          <w:color w:val="17365D"/>
        </w:rPr>
        <w:t>. gadu</w:t>
      </w:r>
      <w:r w:rsidR="009213CE" w:rsidRPr="00D613A6">
        <w:rPr>
          <w:noProof w:val="0"/>
          <w:color w:val="17365D"/>
        </w:rPr>
        <w:t>,</w:t>
      </w:r>
      <w:r w:rsidR="0011526D" w:rsidRPr="00D613A6">
        <w:rPr>
          <w:noProof w:val="0"/>
          <w:color w:val="17365D"/>
        </w:rPr>
        <w:t xml:space="preserve"> </w:t>
      </w:r>
      <w:r w:rsidR="003A4341" w:rsidRPr="00D613A6">
        <w:rPr>
          <w:noProof w:val="0"/>
          <w:color w:val="17365D"/>
        </w:rPr>
        <w:t xml:space="preserve">ir par </w:t>
      </w:r>
      <w:r w:rsidR="00D65C3E" w:rsidRPr="00D613A6">
        <w:rPr>
          <w:noProof w:val="0"/>
          <w:color w:val="17365D"/>
        </w:rPr>
        <w:t>0</w:t>
      </w:r>
      <w:r w:rsidR="003A4341" w:rsidRPr="00D613A6">
        <w:rPr>
          <w:noProof w:val="0"/>
          <w:color w:val="17365D"/>
        </w:rPr>
        <w:t>,</w:t>
      </w:r>
      <w:r w:rsidR="00954442" w:rsidRPr="00D613A6">
        <w:rPr>
          <w:noProof w:val="0"/>
          <w:color w:val="17365D"/>
        </w:rPr>
        <w:t>2</w:t>
      </w:r>
      <w:r w:rsidR="005F0515" w:rsidRPr="00D613A6">
        <w:rPr>
          <w:noProof w:val="0"/>
          <w:color w:val="17365D"/>
        </w:rPr>
        <w:t> </w:t>
      </w:r>
      <w:r w:rsidR="003A4341" w:rsidRPr="00D613A6">
        <w:rPr>
          <w:noProof w:val="0"/>
          <w:color w:val="17365D"/>
        </w:rPr>
        <w:t>milj</w:t>
      </w:r>
      <w:r w:rsidR="008B1F5D" w:rsidRPr="00D613A6">
        <w:rPr>
          <w:noProof w:val="0"/>
          <w:color w:val="17365D"/>
        </w:rPr>
        <w:t>. </w:t>
      </w:r>
      <w:r w:rsidR="00EF7B9A" w:rsidRPr="00D613A6">
        <w:rPr>
          <w:i/>
          <w:noProof w:val="0"/>
          <w:color w:val="17365D"/>
        </w:rPr>
        <w:t>euro</w:t>
      </w:r>
      <w:r w:rsidR="008B1F5D" w:rsidRPr="00D613A6">
        <w:rPr>
          <w:noProof w:val="0"/>
          <w:color w:val="17365D"/>
        </w:rPr>
        <w:t xml:space="preserve"> </w:t>
      </w:r>
      <w:r w:rsidR="003A4341" w:rsidRPr="00D613A6">
        <w:rPr>
          <w:noProof w:val="0"/>
          <w:color w:val="17365D"/>
        </w:rPr>
        <w:t xml:space="preserve">jeb </w:t>
      </w:r>
      <w:r w:rsidR="00954442" w:rsidRPr="00D613A6">
        <w:rPr>
          <w:noProof w:val="0"/>
          <w:color w:val="17365D"/>
        </w:rPr>
        <w:t>21</w:t>
      </w:r>
      <w:r w:rsidR="003A4341" w:rsidRPr="00D613A6">
        <w:rPr>
          <w:noProof w:val="0"/>
          <w:color w:val="17365D"/>
        </w:rPr>
        <w:t>,</w:t>
      </w:r>
      <w:r w:rsidR="00954442" w:rsidRPr="00D613A6">
        <w:rPr>
          <w:noProof w:val="0"/>
          <w:color w:val="17365D"/>
        </w:rPr>
        <w:t>26</w:t>
      </w:r>
      <w:r w:rsidR="006A7956" w:rsidRPr="00D613A6">
        <w:rPr>
          <w:noProof w:val="0"/>
          <w:color w:val="17365D"/>
        </w:rPr>
        <w:t> %</w:t>
      </w:r>
      <w:r w:rsidR="003A4341" w:rsidRPr="00D613A6">
        <w:rPr>
          <w:noProof w:val="0"/>
          <w:color w:val="17365D"/>
        </w:rPr>
        <w:t xml:space="preserve"> </w:t>
      </w:r>
      <w:r w:rsidR="00D65C3E" w:rsidRPr="00D613A6">
        <w:rPr>
          <w:noProof w:val="0"/>
          <w:color w:val="17365D"/>
        </w:rPr>
        <w:t>vair</w:t>
      </w:r>
      <w:r w:rsidR="00EA16B2" w:rsidRPr="00D613A6">
        <w:rPr>
          <w:noProof w:val="0"/>
          <w:color w:val="17365D"/>
        </w:rPr>
        <w:t>āk</w:t>
      </w:r>
      <w:r w:rsidR="003A4341" w:rsidRPr="00D613A6">
        <w:rPr>
          <w:noProof w:val="0"/>
          <w:color w:val="17365D"/>
        </w:rPr>
        <w:t xml:space="preserve">. </w:t>
      </w:r>
      <w:r w:rsidR="004079A0" w:rsidRPr="00D613A6">
        <w:rPr>
          <w:noProof w:val="0"/>
          <w:color w:val="17365D"/>
        </w:rPr>
        <w:t>Detalizēta informācija skatāma 20</w:t>
      </w:r>
      <w:r w:rsidR="001D6C0C" w:rsidRPr="00D613A6">
        <w:rPr>
          <w:noProof w:val="0"/>
          <w:color w:val="17365D"/>
        </w:rPr>
        <w:t>2</w:t>
      </w:r>
      <w:r w:rsidR="00954442" w:rsidRPr="00D613A6">
        <w:rPr>
          <w:noProof w:val="0"/>
          <w:color w:val="17365D"/>
        </w:rPr>
        <w:t>4</w:t>
      </w:r>
      <w:r w:rsidR="004079A0" w:rsidRPr="00D613A6">
        <w:rPr>
          <w:noProof w:val="0"/>
          <w:color w:val="17365D"/>
        </w:rPr>
        <w:t xml:space="preserve">. gada pārskata </w:t>
      </w:r>
      <w:r w:rsidR="000321C6" w:rsidRPr="00D613A6">
        <w:rPr>
          <w:noProof w:val="0"/>
          <w:color w:val="17365D"/>
        </w:rPr>
        <w:t>18. tabula</w:t>
      </w:r>
      <w:r w:rsidR="004079A0" w:rsidRPr="00D613A6">
        <w:rPr>
          <w:noProof w:val="0"/>
          <w:color w:val="17365D"/>
        </w:rPr>
        <w:t xml:space="preserve"> “</w:t>
      </w:r>
      <w:r w:rsidR="004079A0" w:rsidRPr="00D613A6">
        <w:rPr>
          <w:color w:val="17365D"/>
        </w:rPr>
        <w:t>Valsts konsolidētā ziedojumu un dāvinājumu izpilde</w:t>
      </w:r>
      <w:r w:rsidR="004079A0" w:rsidRPr="00D613A6">
        <w:rPr>
          <w:noProof w:val="0"/>
          <w:color w:val="17365D"/>
        </w:rPr>
        <w:t xml:space="preserve">” </w:t>
      </w:r>
      <w:r w:rsidR="005957E5" w:rsidRPr="00D613A6">
        <w:rPr>
          <w:noProof w:val="0"/>
          <w:color w:val="17365D"/>
        </w:rPr>
        <w:t xml:space="preserve">(skatīt </w:t>
      </w:r>
      <w:r w:rsidR="00872488" w:rsidRPr="00D613A6">
        <w:rPr>
          <w:noProof w:val="0"/>
          <w:color w:val="17365D"/>
        </w:rPr>
        <w:t>6.</w:t>
      </w:r>
      <w:r w:rsidR="0044403C" w:rsidRPr="00D613A6">
        <w:rPr>
          <w:noProof w:val="0"/>
          <w:color w:val="17365D"/>
        </w:rPr>
        <w:t>8</w:t>
      </w:r>
      <w:r w:rsidR="005957E5" w:rsidRPr="00D613A6">
        <w:rPr>
          <w:noProof w:val="0"/>
          <w:color w:val="17365D"/>
        </w:rPr>
        <w:t>.</w:t>
      </w:r>
      <w:r w:rsidR="00395AC6" w:rsidRPr="00D613A6">
        <w:rPr>
          <w:noProof w:val="0"/>
          <w:color w:val="17365D"/>
        </w:rPr>
        <w:t> </w:t>
      </w:r>
      <w:r w:rsidR="005957E5" w:rsidRPr="00D613A6">
        <w:rPr>
          <w:noProof w:val="0"/>
          <w:color w:val="17365D"/>
        </w:rPr>
        <w:t>tabulu)</w:t>
      </w:r>
      <w:r w:rsidR="000872BB" w:rsidRPr="00D613A6">
        <w:rPr>
          <w:noProof w:val="0"/>
          <w:color w:val="17365D"/>
        </w:rPr>
        <w:t xml:space="preserve">. </w:t>
      </w:r>
    </w:p>
    <w:p w14:paraId="5040C058" w14:textId="3BC7A00C" w:rsidR="00112728" w:rsidRPr="00D613A6" w:rsidRDefault="00872488" w:rsidP="004E28A8">
      <w:pPr>
        <w:spacing w:before="24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8</w:t>
      </w:r>
      <w:r w:rsidR="00112728" w:rsidRPr="00D613A6">
        <w:rPr>
          <w:rFonts w:eastAsia="Arial Unicode MS"/>
          <w:i/>
          <w:color w:val="17365D"/>
          <w:sz w:val="20"/>
        </w:rPr>
        <w:t xml:space="preserve">. tabula. </w:t>
      </w:r>
      <w:r w:rsidR="00B556DF" w:rsidRPr="00D613A6">
        <w:rPr>
          <w:rFonts w:eastAsia="Arial Unicode MS"/>
          <w:i/>
          <w:color w:val="17365D"/>
          <w:sz w:val="20"/>
        </w:rPr>
        <w:t>Z</w:t>
      </w:r>
      <w:r w:rsidR="00112728" w:rsidRPr="00D613A6">
        <w:rPr>
          <w:bCs/>
          <w:i/>
          <w:color w:val="17365D"/>
          <w:sz w:val="20"/>
          <w:szCs w:val="20"/>
        </w:rPr>
        <w:t>iedojum</w:t>
      </w:r>
      <w:r w:rsidR="00B556DF" w:rsidRPr="00D613A6">
        <w:rPr>
          <w:bCs/>
          <w:i/>
          <w:color w:val="17365D"/>
          <w:sz w:val="20"/>
          <w:szCs w:val="20"/>
        </w:rPr>
        <w:t>u</w:t>
      </w:r>
      <w:r w:rsidR="00112728" w:rsidRPr="00D613A6">
        <w:rPr>
          <w:bCs/>
          <w:i/>
          <w:color w:val="17365D"/>
          <w:sz w:val="20"/>
          <w:szCs w:val="20"/>
        </w:rPr>
        <w:t xml:space="preserve"> un dāvinājum</w:t>
      </w:r>
      <w:r w:rsidR="00B556DF" w:rsidRPr="00D613A6">
        <w:rPr>
          <w:bCs/>
          <w:i/>
          <w:color w:val="17365D"/>
          <w:sz w:val="20"/>
          <w:szCs w:val="20"/>
        </w:rPr>
        <w:t>u ieņēmumu izmaiņas</w:t>
      </w:r>
      <w:r w:rsidR="00112728" w:rsidRPr="00D613A6">
        <w:rPr>
          <w:bCs/>
          <w:i/>
          <w:color w:val="17365D"/>
          <w:sz w:val="20"/>
          <w:szCs w:val="20"/>
        </w:rPr>
        <w:t xml:space="preserve"> (</w:t>
      </w:r>
      <w:r w:rsidR="00112728" w:rsidRPr="00D613A6">
        <w:rPr>
          <w:i/>
          <w:color w:val="17365D"/>
          <w:sz w:val="20"/>
        </w:rPr>
        <w:t>euro)</w:t>
      </w:r>
    </w:p>
    <w:tbl>
      <w:tblPr>
        <w:tblStyle w:val="TableGrid"/>
        <w:tblW w:w="936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883"/>
        <w:gridCol w:w="2569"/>
        <w:gridCol w:w="1483"/>
        <w:gridCol w:w="1483"/>
        <w:gridCol w:w="1619"/>
        <w:gridCol w:w="1328"/>
      </w:tblGrid>
      <w:tr w:rsidR="00D613A6" w:rsidRPr="00D613A6" w14:paraId="6023C814" w14:textId="77777777" w:rsidTr="0060589F">
        <w:trPr>
          <w:trHeight w:val="284"/>
          <w:tblHeader/>
        </w:trPr>
        <w:tc>
          <w:tcPr>
            <w:tcW w:w="883" w:type="dxa"/>
            <w:vMerge w:val="restart"/>
            <w:tcBorders>
              <w:top w:val="nil"/>
            </w:tcBorders>
            <w:shd w:val="clear" w:color="auto" w:fill="B9CDE5"/>
            <w:vAlign w:val="center"/>
          </w:tcPr>
          <w:p w14:paraId="5F1FD0ED" w14:textId="0AC3F351"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9" w:type="dxa"/>
            <w:vMerge w:val="restart"/>
            <w:tcBorders>
              <w:top w:val="nil"/>
            </w:tcBorders>
            <w:shd w:val="clear" w:color="auto" w:fill="B9CDE5"/>
            <w:vAlign w:val="center"/>
          </w:tcPr>
          <w:p w14:paraId="629EEF95"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Posteņa nosaukums</w:t>
            </w:r>
          </w:p>
        </w:tc>
        <w:tc>
          <w:tcPr>
            <w:tcW w:w="2966" w:type="dxa"/>
            <w:gridSpan w:val="2"/>
            <w:tcBorders>
              <w:top w:val="nil"/>
              <w:bottom w:val="single" w:sz="4" w:space="0" w:color="17365D"/>
            </w:tcBorders>
            <w:shd w:val="clear" w:color="auto" w:fill="B9CDE5"/>
            <w:vAlign w:val="center"/>
          </w:tcPr>
          <w:p w14:paraId="4A64A7E8"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Budžeta izpilde</w:t>
            </w:r>
          </w:p>
        </w:tc>
        <w:tc>
          <w:tcPr>
            <w:tcW w:w="1619" w:type="dxa"/>
            <w:vMerge w:val="restart"/>
            <w:tcBorders>
              <w:top w:val="nil"/>
            </w:tcBorders>
            <w:shd w:val="clear" w:color="auto" w:fill="B9CDE5"/>
            <w:vAlign w:val="center"/>
          </w:tcPr>
          <w:p w14:paraId="60C26B94" w14:textId="2BCD78D3"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128A45C0" w14:textId="337BEEBC"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(1</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w:t>
            </w:r>
          </w:p>
        </w:tc>
        <w:tc>
          <w:tcPr>
            <w:tcW w:w="1328" w:type="dxa"/>
            <w:vMerge w:val="restart"/>
            <w:tcBorders>
              <w:top w:val="nil"/>
            </w:tcBorders>
            <w:shd w:val="clear" w:color="auto" w:fill="B9CDE5"/>
            <w:vAlign w:val="center"/>
          </w:tcPr>
          <w:p w14:paraId="5DA2A1C0"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Procentuālās izmaiņas</w:t>
            </w:r>
          </w:p>
          <w:p w14:paraId="43243C22" w14:textId="5F10BC34" w:rsidR="00B1217F" w:rsidRPr="00D613A6" w:rsidRDefault="00B1217F"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0FAFB95C" w14:textId="77777777" w:rsidTr="00856306">
        <w:trPr>
          <w:trHeight w:val="284"/>
          <w:tblHeader/>
        </w:trPr>
        <w:tc>
          <w:tcPr>
            <w:tcW w:w="883" w:type="dxa"/>
            <w:vMerge/>
            <w:tcBorders>
              <w:bottom w:val="nil"/>
            </w:tcBorders>
            <w:vAlign w:val="center"/>
          </w:tcPr>
          <w:p w14:paraId="57BF9E67" w14:textId="77777777" w:rsidR="00B1217F" w:rsidRPr="00D613A6" w:rsidRDefault="00B1217F" w:rsidP="00B556DF">
            <w:pPr>
              <w:pStyle w:val="Pamatteksts1"/>
              <w:spacing w:after="0"/>
              <w:ind w:firstLine="0"/>
              <w:rPr>
                <w:color w:val="17365D"/>
                <w:sz w:val="20"/>
                <w:szCs w:val="20"/>
              </w:rPr>
            </w:pPr>
          </w:p>
        </w:tc>
        <w:tc>
          <w:tcPr>
            <w:tcW w:w="2569" w:type="dxa"/>
            <w:vMerge/>
            <w:tcBorders>
              <w:bottom w:val="nil"/>
            </w:tcBorders>
          </w:tcPr>
          <w:p w14:paraId="6D2CA7E9" w14:textId="77777777" w:rsidR="00B1217F" w:rsidRPr="00D613A6" w:rsidRDefault="00B1217F" w:rsidP="00B556DF">
            <w:pPr>
              <w:pStyle w:val="Pamatteksts1"/>
              <w:spacing w:after="0"/>
              <w:ind w:firstLine="0"/>
              <w:rPr>
                <w:color w:val="17365D"/>
                <w:sz w:val="20"/>
                <w:szCs w:val="20"/>
              </w:rPr>
            </w:pPr>
          </w:p>
        </w:tc>
        <w:tc>
          <w:tcPr>
            <w:tcW w:w="1483" w:type="dxa"/>
            <w:tcBorders>
              <w:top w:val="single" w:sz="4" w:space="0" w:color="17365D"/>
              <w:bottom w:val="nil"/>
            </w:tcBorders>
            <w:shd w:val="clear" w:color="auto" w:fill="B9CDE5"/>
            <w:vAlign w:val="center"/>
          </w:tcPr>
          <w:p w14:paraId="29278405" w14:textId="77777777" w:rsidR="00B1217F" w:rsidRPr="00D613A6" w:rsidRDefault="00B1217F" w:rsidP="00433F94">
            <w:pPr>
              <w:spacing w:before="60" w:after="60"/>
              <w:ind w:firstLine="0"/>
              <w:jc w:val="center"/>
              <w:rPr>
                <w:b/>
                <w:noProof/>
                <w:color w:val="17365D"/>
                <w:sz w:val="20"/>
                <w:szCs w:val="20"/>
              </w:rPr>
            </w:pPr>
            <w:r w:rsidRPr="00D613A6">
              <w:rPr>
                <w:b/>
                <w:noProof/>
                <w:color w:val="17365D"/>
                <w:sz w:val="20"/>
                <w:szCs w:val="20"/>
              </w:rPr>
              <w:t>pārskata periodā</w:t>
            </w:r>
          </w:p>
        </w:tc>
        <w:tc>
          <w:tcPr>
            <w:tcW w:w="1483" w:type="dxa"/>
            <w:tcBorders>
              <w:top w:val="single" w:sz="4" w:space="0" w:color="17365D"/>
              <w:bottom w:val="nil"/>
            </w:tcBorders>
            <w:shd w:val="clear" w:color="auto" w:fill="B9CDE5"/>
            <w:vAlign w:val="center"/>
          </w:tcPr>
          <w:p w14:paraId="6C007F6B" w14:textId="77777777" w:rsidR="00B1217F" w:rsidRPr="00D613A6" w:rsidRDefault="00B1217F" w:rsidP="00433F94">
            <w:pPr>
              <w:spacing w:before="60" w:after="60"/>
              <w:ind w:firstLine="0"/>
              <w:jc w:val="center"/>
              <w:rPr>
                <w:b/>
                <w:noProof/>
                <w:color w:val="17365D"/>
                <w:sz w:val="20"/>
                <w:szCs w:val="20"/>
              </w:rPr>
            </w:pPr>
            <w:r w:rsidRPr="00D613A6">
              <w:rPr>
                <w:b/>
                <w:color w:val="17365D"/>
                <w:sz w:val="20"/>
                <w:szCs w:val="20"/>
              </w:rPr>
              <w:t>iepriekšējā pārskata periodā</w:t>
            </w:r>
          </w:p>
        </w:tc>
        <w:tc>
          <w:tcPr>
            <w:tcW w:w="1619" w:type="dxa"/>
            <w:vMerge/>
            <w:tcBorders>
              <w:bottom w:val="nil"/>
            </w:tcBorders>
          </w:tcPr>
          <w:p w14:paraId="6A251046" w14:textId="77777777" w:rsidR="00B1217F" w:rsidRPr="00D613A6" w:rsidRDefault="00B1217F" w:rsidP="004E28A8">
            <w:pPr>
              <w:pStyle w:val="Pamatteksts1"/>
              <w:spacing w:before="60" w:after="60"/>
              <w:ind w:left="-107" w:right="-105" w:firstLine="0"/>
              <w:jc w:val="center"/>
              <w:rPr>
                <w:b/>
                <w:color w:val="17365D"/>
                <w:sz w:val="20"/>
                <w:szCs w:val="20"/>
              </w:rPr>
            </w:pPr>
          </w:p>
        </w:tc>
        <w:tc>
          <w:tcPr>
            <w:tcW w:w="1328" w:type="dxa"/>
            <w:vMerge/>
            <w:tcBorders>
              <w:bottom w:val="nil"/>
            </w:tcBorders>
          </w:tcPr>
          <w:p w14:paraId="2AEE368E" w14:textId="77777777" w:rsidR="00B1217F" w:rsidRPr="00D613A6" w:rsidRDefault="00B1217F" w:rsidP="00B556DF">
            <w:pPr>
              <w:spacing w:after="0"/>
              <w:ind w:firstLine="0"/>
              <w:rPr>
                <w:color w:val="17365D"/>
                <w:sz w:val="20"/>
                <w:szCs w:val="20"/>
              </w:rPr>
            </w:pPr>
          </w:p>
        </w:tc>
      </w:tr>
      <w:tr w:rsidR="00D613A6" w:rsidRPr="00D613A6" w14:paraId="30E1154C" w14:textId="77777777" w:rsidTr="009C3EFD">
        <w:trPr>
          <w:trHeight w:val="284"/>
          <w:tblHeader/>
        </w:trPr>
        <w:tc>
          <w:tcPr>
            <w:tcW w:w="883" w:type="dxa"/>
            <w:tcBorders>
              <w:top w:val="nil"/>
              <w:bottom w:val="single" w:sz="4" w:space="0" w:color="17365D"/>
            </w:tcBorders>
            <w:vAlign w:val="center"/>
          </w:tcPr>
          <w:p w14:paraId="6366B4BE" w14:textId="77777777"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A</w:t>
            </w:r>
          </w:p>
        </w:tc>
        <w:tc>
          <w:tcPr>
            <w:tcW w:w="2569" w:type="dxa"/>
            <w:tcBorders>
              <w:top w:val="nil"/>
              <w:bottom w:val="single" w:sz="4" w:space="0" w:color="17365D"/>
            </w:tcBorders>
            <w:vAlign w:val="center"/>
          </w:tcPr>
          <w:p w14:paraId="7630D14F" w14:textId="77777777"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B</w:t>
            </w:r>
          </w:p>
        </w:tc>
        <w:tc>
          <w:tcPr>
            <w:tcW w:w="1483" w:type="dxa"/>
            <w:tcBorders>
              <w:top w:val="nil"/>
              <w:bottom w:val="single" w:sz="4" w:space="0" w:color="17365D"/>
            </w:tcBorders>
            <w:vAlign w:val="center"/>
          </w:tcPr>
          <w:p w14:paraId="5461ED5D" w14:textId="1A57ED1B"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1</w:t>
            </w:r>
          </w:p>
        </w:tc>
        <w:tc>
          <w:tcPr>
            <w:tcW w:w="1483" w:type="dxa"/>
            <w:tcBorders>
              <w:top w:val="nil"/>
              <w:bottom w:val="single" w:sz="4" w:space="0" w:color="17365D"/>
            </w:tcBorders>
            <w:vAlign w:val="center"/>
          </w:tcPr>
          <w:p w14:paraId="4BDBE745" w14:textId="6AFA2FF3"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2</w:t>
            </w:r>
          </w:p>
        </w:tc>
        <w:tc>
          <w:tcPr>
            <w:tcW w:w="1619" w:type="dxa"/>
            <w:tcBorders>
              <w:top w:val="nil"/>
              <w:bottom w:val="single" w:sz="4" w:space="0" w:color="17365D"/>
            </w:tcBorders>
            <w:vAlign w:val="center"/>
          </w:tcPr>
          <w:p w14:paraId="4E441DC7" w14:textId="4EE76DE9"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vAlign w:val="center"/>
          </w:tcPr>
          <w:p w14:paraId="263741B9" w14:textId="42CAFC10"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499C4D1" w14:textId="77777777" w:rsidTr="00AF21EE">
        <w:trPr>
          <w:trHeight w:val="284"/>
        </w:trPr>
        <w:tc>
          <w:tcPr>
            <w:tcW w:w="883" w:type="dxa"/>
            <w:tcBorders>
              <w:top w:val="single" w:sz="4" w:space="0" w:color="17365D"/>
              <w:bottom w:val="single" w:sz="4" w:space="0" w:color="17365D"/>
            </w:tcBorders>
            <w:vAlign w:val="center"/>
          </w:tcPr>
          <w:p w14:paraId="45FADC33" w14:textId="77777777" w:rsidR="00585C76" w:rsidRPr="00D613A6" w:rsidRDefault="00585C76" w:rsidP="00585C76">
            <w:pPr>
              <w:pStyle w:val="Pamatteksts1"/>
              <w:spacing w:before="40" w:after="40"/>
              <w:ind w:firstLine="0"/>
              <w:jc w:val="left"/>
              <w:rPr>
                <w:b/>
                <w:color w:val="17365D"/>
                <w:sz w:val="20"/>
                <w:szCs w:val="20"/>
              </w:rPr>
            </w:pPr>
            <w:r w:rsidRPr="00D613A6">
              <w:rPr>
                <w:b/>
                <w:color w:val="17365D"/>
                <w:sz w:val="20"/>
                <w:szCs w:val="20"/>
              </w:rPr>
              <w:t>I.</w:t>
            </w:r>
          </w:p>
        </w:tc>
        <w:tc>
          <w:tcPr>
            <w:tcW w:w="2569" w:type="dxa"/>
            <w:tcBorders>
              <w:top w:val="single" w:sz="4" w:space="0" w:color="17365D"/>
              <w:bottom w:val="single" w:sz="4" w:space="0" w:color="17365D"/>
            </w:tcBorders>
            <w:shd w:val="clear" w:color="000000" w:fill="FFFFFF"/>
            <w:vAlign w:val="center"/>
          </w:tcPr>
          <w:p w14:paraId="43DE7754" w14:textId="77777777" w:rsidR="00585C76" w:rsidRPr="00D613A6" w:rsidRDefault="00585C76" w:rsidP="00585C76">
            <w:pPr>
              <w:pStyle w:val="Pamatteksts1"/>
              <w:spacing w:before="40" w:after="40"/>
              <w:ind w:firstLine="0"/>
              <w:rPr>
                <w:b/>
                <w:color w:val="17365D"/>
                <w:sz w:val="20"/>
                <w:szCs w:val="20"/>
              </w:rPr>
            </w:pPr>
            <w:r w:rsidRPr="00D613A6">
              <w:rPr>
                <w:b/>
                <w:bCs/>
                <w:color w:val="17365D"/>
                <w:sz w:val="20"/>
                <w:szCs w:val="20"/>
              </w:rPr>
              <w:t>IEŅĒMUMI KOPĀ</w:t>
            </w:r>
          </w:p>
        </w:tc>
        <w:tc>
          <w:tcPr>
            <w:tcW w:w="1483" w:type="dxa"/>
            <w:tcBorders>
              <w:top w:val="single" w:sz="4" w:space="0" w:color="17365D"/>
              <w:left w:val="nil"/>
              <w:bottom w:val="single" w:sz="4" w:space="0" w:color="17365D"/>
              <w:right w:val="nil"/>
            </w:tcBorders>
            <w:shd w:val="clear" w:color="000000" w:fill="FFFFFF"/>
            <w:vAlign w:val="center"/>
          </w:tcPr>
          <w:p w14:paraId="3AAAF284" w14:textId="18F38C5D" w:rsidR="00585C76" w:rsidRPr="00D613A6" w:rsidRDefault="00954442" w:rsidP="00954442">
            <w:pPr>
              <w:pStyle w:val="Pamatteksts1"/>
              <w:spacing w:before="40" w:after="40"/>
              <w:ind w:firstLine="0"/>
              <w:jc w:val="right"/>
              <w:rPr>
                <w:b/>
                <w:color w:val="17365D"/>
                <w:sz w:val="20"/>
                <w:szCs w:val="20"/>
              </w:rPr>
            </w:pPr>
            <w:r w:rsidRPr="00D613A6">
              <w:rPr>
                <w:b/>
                <w:color w:val="17365D"/>
                <w:sz w:val="20"/>
                <w:szCs w:val="20"/>
              </w:rPr>
              <w:t>1 070 009</w:t>
            </w:r>
          </w:p>
        </w:tc>
        <w:tc>
          <w:tcPr>
            <w:tcW w:w="1483" w:type="dxa"/>
            <w:tcBorders>
              <w:top w:val="single" w:sz="4" w:space="0" w:color="17365D"/>
              <w:left w:val="nil"/>
              <w:bottom w:val="single" w:sz="4" w:space="0" w:color="17365D"/>
              <w:right w:val="nil"/>
            </w:tcBorders>
            <w:shd w:val="clear" w:color="000000" w:fill="FFFFFF"/>
            <w:vAlign w:val="center"/>
          </w:tcPr>
          <w:p w14:paraId="4B268247" w14:textId="4979C615" w:rsidR="00585C76" w:rsidRPr="00D613A6" w:rsidRDefault="00585C76" w:rsidP="00585C76">
            <w:pPr>
              <w:pStyle w:val="Pamatteksts1"/>
              <w:spacing w:before="40" w:after="40"/>
              <w:ind w:firstLine="0"/>
              <w:jc w:val="right"/>
              <w:rPr>
                <w:b/>
                <w:color w:val="17365D"/>
                <w:sz w:val="20"/>
                <w:szCs w:val="20"/>
              </w:rPr>
            </w:pPr>
            <w:r w:rsidRPr="00D613A6">
              <w:rPr>
                <w:b/>
                <w:color w:val="17365D"/>
                <w:sz w:val="20"/>
                <w:szCs w:val="20"/>
              </w:rPr>
              <w:t>882 390</w:t>
            </w:r>
          </w:p>
        </w:tc>
        <w:tc>
          <w:tcPr>
            <w:tcW w:w="1619" w:type="dxa"/>
            <w:tcBorders>
              <w:top w:val="single" w:sz="4" w:space="0" w:color="17365D"/>
              <w:left w:val="nil"/>
              <w:bottom w:val="single" w:sz="4" w:space="0" w:color="17365D"/>
              <w:right w:val="nil"/>
            </w:tcBorders>
            <w:shd w:val="clear" w:color="auto" w:fill="auto"/>
            <w:vAlign w:val="center"/>
          </w:tcPr>
          <w:p w14:paraId="1F60ACD8" w14:textId="506D7941" w:rsidR="00585C76" w:rsidRPr="00D613A6" w:rsidRDefault="00954442" w:rsidP="00954442">
            <w:pPr>
              <w:pStyle w:val="Pamatteksts1"/>
              <w:spacing w:before="60" w:after="60"/>
              <w:ind w:left="-107" w:right="-105" w:firstLine="0"/>
              <w:jc w:val="right"/>
              <w:rPr>
                <w:b/>
                <w:color w:val="17365D"/>
                <w:sz w:val="20"/>
                <w:szCs w:val="20"/>
              </w:rPr>
            </w:pPr>
            <w:r w:rsidRPr="00D613A6">
              <w:rPr>
                <w:b/>
                <w:color w:val="17365D"/>
                <w:sz w:val="20"/>
                <w:szCs w:val="20"/>
              </w:rPr>
              <w:t>187</w:t>
            </w:r>
            <w:r w:rsidR="00585C76" w:rsidRPr="00D613A6">
              <w:rPr>
                <w:b/>
                <w:color w:val="17365D"/>
                <w:sz w:val="20"/>
                <w:szCs w:val="20"/>
              </w:rPr>
              <w:t xml:space="preserve"> </w:t>
            </w:r>
            <w:r w:rsidRPr="00D613A6">
              <w:rPr>
                <w:b/>
                <w:color w:val="17365D"/>
                <w:sz w:val="20"/>
                <w:szCs w:val="20"/>
              </w:rPr>
              <w:t>619</w:t>
            </w:r>
          </w:p>
        </w:tc>
        <w:tc>
          <w:tcPr>
            <w:tcW w:w="1328" w:type="dxa"/>
            <w:tcBorders>
              <w:top w:val="single" w:sz="4" w:space="0" w:color="17365D"/>
              <w:left w:val="nil"/>
              <w:bottom w:val="single" w:sz="4" w:space="0" w:color="17365D"/>
              <w:right w:val="nil"/>
            </w:tcBorders>
            <w:shd w:val="clear" w:color="auto" w:fill="auto"/>
            <w:vAlign w:val="center"/>
          </w:tcPr>
          <w:p w14:paraId="5AD3A625" w14:textId="202C5E2F" w:rsidR="00585C76" w:rsidRPr="00D613A6" w:rsidRDefault="00954442" w:rsidP="00585C76">
            <w:pPr>
              <w:pStyle w:val="Pamatteksts1"/>
              <w:spacing w:before="40" w:after="40"/>
              <w:ind w:firstLine="0"/>
              <w:jc w:val="right"/>
              <w:rPr>
                <w:b/>
                <w:color w:val="17365D"/>
                <w:sz w:val="20"/>
                <w:szCs w:val="20"/>
              </w:rPr>
            </w:pPr>
            <w:r w:rsidRPr="00D613A6">
              <w:rPr>
                <w:b/>
                <w:color w:val="17365D"/>
                <w:sz w:val="20"/>
                <w:szCs w:val="20"/>
              </w:rPr>
              <w:t>21.26</w:t>
            </w:r>
          </w:p>
        </w:tc>
      </w:tr>
      <w:tr w:rsidR="00D613A6" w:rsidRPr="00D613A6" w14:paraId="648D66AC" w14:textId="77777777" w:rsidTr="00AF21EE">
        <w:trPr>
          <w:trHeight w:val="284"/>
        </w:trPr>
        <w:tc>
          <w:tcPr>
            <w:tcW w:w="883" w:type="dxa"/>
            <w:tcBorders>
              <w:top w:val="single" w:sz="4" w:space="0" w:color="17365D"/>
              <w:bottom w:val="single" w:sz="4" w:space="0" w:color="17365D"/>
            </w:tcBorders>
            <w:vAlign w:val="center"/>
          </w:tcPr>
          <w:p w14:paraId="62F342D2" w14:textId="25118767" w:rsidR="00585C76" w:rsidRPr="00D613A6" w:rsidRDefault="00585C76" w:rsidP="00585C76">
            <w:pPr>
              <w:spacing w:before="40" w:after="40"/>
              <w:ind w:firstLine="0"/>
              <w:jc w:val="left"/>
              <w:rPr>
                <w:bCs/>
                <w:color w:val="17365D"/>
                <w:sz w:val="20"/>
                <w:szCs w:val="20"/>
              </w:rPr>
            </w:pPr>
            <w:r w:rsidRPr="00D613A6">
              <w:rPr>
                <w:bCs/>
                <w:color w:val="17365D"/>
                <w:sz w:val="20"/>
                <w:szCs w:val="20"/>
              </w:rPr>
              <w:t>1.5.</w:t>
            </w:r>
          </w:p>
        </w:tc>
        <w:tc>
          <w:tcPr>
            <w:tcW w:w="2569" w:type="dxa"/>
            <w:tcBorders>
              <w:top w:val="single" w:sz="4" w:space="0" w:color="17365D"/>
              <w:bottom w:val="single" w:sz="4" w:space="0" w:color="17365D"/>
            </w:tcBorders>
            <w:shd w:val="clear" w:color="000000" w:fill="FFFFFF"/>
            <w:vAlign w:val="center"/>
          </w:tcPr>
          <w:p w14:paraId="29574B75" w14:textId="3D2C816B" w:rsidR="00585C76" w:rsidRPr="00D613A6" w:rsidRDefault="00585C76" w:rsidP="00585C76">
            <w:pPr>
              <w:pStyle w:val="Pamatteksts1"/>
              <w:spacing w:before="40" w:after="40"/>
              <w:ind w:firstLine="0"/>
              <w:rPr>
                <w:color w:val="17365D"/>
                <w:sz w:val="20"/>
                <w:szCs w:val="20"/>
              </w:rPr>
            </w:pPr>
            <w:r w:rsidRPr="00D613A6">
              <w:rPr>
                <w:bCs/>
                <w:color w:val="17365D"/>
                <w:sz w:val="20"/>
                <w:szCs w:val="20"/>
              </w:rPr>
              <w:t>Transferti</w:t>
            </w:r>
          </w:p>
        </w:tc>
        <w:tc>
          <w:tcPr>
            <w:tcW w:w="1483" w:type="dxa"/>
            <w:tcBorders>
              <w:top w:val="single" w:sz="4" w:space="0" w:color="17365D"/>
              <w:left w:val="nil"/>
              <w:bottom w:val="single" w:sz="4" w:space="0" w:color="17365D"/>
              <w:right w:val="nil"/>
            </w:tcBorders>
            <w:shd w:val="clear" w:color="000000" w:fill="FFFFFF"/>
            <w:vAlign w:val="center"/>
          </w:tcPr>
          <w:p w14:paraId="05DFAE6C" w14:textId="61A749EF" w:rsidR="00585C76" w:rsidRPr="00D613A6" w:rsidRDefault="00954442" w:rsidP="00585C76">
            <w:pPr>
              <w:pStyle w:val="Pamatteksts1"/>
              <w:spacing w:before="40" w:after="40"/>
              <w:ind w:firstLine="0"/>
              <w:jc w:val="right"/>
              <w:rPr>
                <w:color w:val="17365D"/>
                <w:sz w:val="20"/>
                <w:szCs w:val="20"/>
              </w:rPr>
            </w:pPr>
            <w:r w:rsidRPr="00D613A6">
              <w:rPr>
                <w:color w:val="17365D"/>
                <w:sz w:val="20"/>
                <w:szCs w:val="20"/>
              </w:rPr>
              <w:t>0</w:t>
            </w:r>
          </w:p>
        </w:tc>
        <w:tc>
          <w:tcPr>
            <w:tcW w:w="1483" w:type="dxa"/>
            <w:tcBorders>
              <w:top w:val="single" w:sz="4" w:space="0" w:color="17365D"/>
              <w:left w:val="nil"/>
              <w:bottom w:val="single" w:sz="4" w:space="0" w:color="17365D"/>
              <w:right w:val="nil"/>
            </w:tcBorders>
            <w:shd w:val="clear" w:color="000000" w:fill="FFFFFF"/>
            <w:vAlign w:val="center"/>
          </w:tcPr>
          <w:p w14:paraId="71332A51" w14:textId="22845B68" w:rsidR="00585C76" w:rsidRPr="00D613A6" w:rsidRDefault="00585C76" w:rsidP="00585C76">
            <w:pPr>
              <w:pStyle w:val="Pamatteksts1"/>
              <w:spacing w:before="40" w:after="40"/>
              <w:ind w:firstLine="0"/>
              <w:jc w:val="right"/>
              <w:rPr>
                <w:color w:val="17365D"/>
                <w:sz w:val="20"/>
                <w:szCs w:val="20"/>
              </w:rPr>
            </w:pPr>
            <w:r w:rsidRPr="00D613A6">
              <w:rPr>
                <w:color w:val="17365D"/>
                <w:sz w:val="20"/>
                <w:szCs w:val="20"/>
              </w:rPr>
              <w:t>24</w:t>
            </w:r>
          </w:p>
        </w:tc>
        <w:tc>
          <w:tcPr>
            <w:tcW w:w="1619" w:type="dxa"/>
            <w:tcBorders>
              <w:top w:val="single" w:sz="4" w:space="0" w:color="17365D"/>
              <w:left w:val="nil"/>
              <w:bottom w:val="single" w:sz="4" w:space="0" w:color="17365D"/>
              <w:right w:val="nil"/>
            </w:tcBorders>
            <w:shd w:val="clear" w:color="auto" w:fill="auto"/>
            <w:vAlign w:val="center"/>
          </w:tcPr>
          <w:p w14:paraId="52EB5166" w14:textId="643677F6" w:rsidR="00585C76" w:rsidRPr="00D613A6" w:rsidRDefault="00954442" w:rsidP="00954442">
            <w:pPr>
              <w:pStyle w:val="Pamatteksts1"/>
              <w:spacing w:before="60" w:after="60"/>
              <w:ind w:left="-107" w:right="-105" w:firstLine="0"/>
              <w:jc w:val="right"/>
              <w:rPr>
                <w:color w:val="17365D"/>
                <w:sz w:val="20"/>
                <w:szCs w:val="20"/>
              </w:rPr>
            </w:pPr>
            <w:r w:rsidRPr="00D613A6">
              <w:rPr>
                <w:color w:val="17365D"/>
                <w:sz w:val="20"/>
                <w:szCs w:val="20"/>
              </w:rPr>
              <w:t>-24</w:t>
            </w:r>
          </w:p>
        </w:tc>
        <w:tc>
          <w:tcPr>
            <w:tcW w:w="1328" w:type="dxa"/>
            <w:tcBorders>
              <w:top w:val="single" w:sz="4" w:space="0" w:color="17365D"/>
              <w:left w:val="nil"/>
              <w:bottom w:val="single" w:sz="4" w:space="0" w:color="17365D"/>
              <w:right w:val="nil"/>
            </w:tcBorders>
            <w:shd w:val="clear" w:color="auto" w:fill="auto"/>
            <w:vAlign w:val="center"/>
          </w:tcPr>
          <w:p w14:paraId="289E8628" w14:textId="4F43A604" w:rsidR="00585C76" w:rsidRPr="00D613A6" w:rsidRDefault="00585C76" w:rsidP="00954442">
            <w:pPr>
              <w:pStyle w:val="Pamatteksts1"/>
              <w:spacing w:before="40" w:after="40"/>
              <w:ind w:firstLine="0"/>
              <w:jc w:val="right"/>
              <w:rPr>
                <w:color w:val="17365D"/>
                <w:sz w:val="20"/>
                <w:szCs w:val="20"/>
              </w:rPr>
            </w:pPr>
            <w:r w:rsidRPr="00D613A6">
              <w:rPr>
                <w:color w:val="17365D"/>
                <w:sz w:val="20"/>
                <w:szCs w:val="20"/>
              </w:rPr>
              <w:t>-</w:t>
            </w:r>
            <w:r w:rsidR="00954442" w:rsidRPr="00D613A6">
              <w:rPr>
                <w:color w:val="17365D"/>
                <w:sz w:val="20"/>
                <w:szCs w:val="20"/>
              </w:rPr>
              <w:t>100</w:t>
            </w:r>
            <w:r w:rsidRPr="00D613A6">
              <w:rPr>
                <w:color w:val="17365D"/>
                <w:sz w:val="20"/>
                <w:szCs w:val="20"/>
              </w:rPr>
              <w:t>.</w:t>
            </w:r>
            <w:r w:rsidR="00321502">
              <w:rPr>
                <w:color w:val="17365D"/>
                <w:sz w:val="20"/>
                <w:szCs w:val="20"/>
              </w:rPr>
              <w:t>0</w:t>
            </w:r>
            <w:r w:rsidR="00954442" w:rsidRPr="00D613A6">
              <w:rPr>
                <w:color w:val="17365D"/>
                <w:sz w:val="20"/>
                <w:szCs w:val="20"/>
              </w:rPr>
              <w:t>0</w:t>
            </w:r>
          </w:p>
        </w:tc>
      </w:tr>
      <w:tr w:rsidR="00D613A6" w:rsidRPr="00D613A6" w14:paraId="43277BF7" w14:textId="77777777" w:rsidTr="00AF21EE">
        <w:trPr>
          <w:trHeight w:val="284"/>
        </w:trPr>
        <w:tc>
          <w:tcPr>
            <w:tcW w:w="883" w:type="dxa"/>
            <w:tcBorders>
              <w:top w:val="single" w:sz="4" w:space="0" w:color="17365D"/>
              <w:bottom w:val="nil"/>
            </w:tcBorders>
            <w:vAlign w:val="center"/>
          </w:tcPr>
          <w:p w14:paraId="1FA8D2E4" w14:textId="5554109F" w:rsidR="00585C76" w:rsidRPr="00D613A6" w:rsidRDefault="00585C76" w:rsidP="00585C76">
            <w:pPr>
              <w:spacing w:before="40" w:after="40"/>
              <w:ind w:firstLine="0"/>
              <w:jc w:val="left"/>
              <w:rPr>
                <w:bCs/>
                <w:color w:val="17365D"/>
                <w:sz w:val="20"/>
                <w:szCs w:val="20"/>
              </w:rPr>
            </w:pPr>
            <w:r w:rsidRPr="00D613A6">
              <w:rPr>
                <w:bCs/>
                <w:color w:val="17365D"/>
                <w:sz w:val="20"/>
                <w:szCs w:val="20"/>
              </w:rPr>
              <w:t>6.0.</w:t>
            </w:r>
          </w:p>
        </w:tc>
        <w:tc>
          <w:tcPr>
            <w:tcW w:w="2569" w:type="dxa"/>
            <w:tcBorders>
              <w:top w:val="single" w:sz="4" w:space="0" w:color="17365D"/>
              <w:bottom w:val="nil"/>
            </w:tcBorders>
            <w:shd w:val="clear" w:color="000000" w:fill="FFFFFF"/>
            <w:vAlign w:val="center"/>
          </w:tcPr>
          <w:p w14:paraId="2AAF38B7" w14:textId="4080D81E" w:rsidR="00585C76" w:rsidRPr="00D613A6" w:rsidRDefault="00585C76" w:rsidP="00585C76">
            <w:pPr>
              <w:pStyle w:val="Pamatteksts1"/>
              <w:spacing w:before="40" w:after="40"/>
              <w:ind w:firstLine="0"/>
              <w:rPr>
                <w:bCs/>
                <w:color w:val="17365D"/>
                <w:sz w:val="20"/>
                <w:szCs w:val="20"/>
              </w:rPr>
            </w:pPr>
            <w:r w:rsidRPr="00D613A6">
              <w:rPr>
                <w:color w:val="17365D"/>
                <w:sz w:val="20"/>
                <w:szCs w:val="20"/>
              </w:rPr>
              <w:t>Ziedojumi un dāvinājumi</w:t>
            </w:r>
          </w:p>
        </w:tc>
        <w:tc>
          <w:tcPr>
            <w:tcW w:w="1483" w:type="dxa"/>
            <w:tcBorders>
              <w:top w:val="single" w:sz="4" w:space="0" w:color="17365D"/>
              <w:left w:val="nil"/>
              <w:bottom w:val="nil"/>
              <w:right w:val="nil"/>
            </w:tcBorders>
            <w:shd w:val="clear" w:color="000000" w:fill="FFFFFF"/>
            <w:vAlign w:val="center"/>
          </w:tcPr>
          <w:p w14:paraId="35A89188" w14:textId="529D77C6" w:rsidR="00585C76" w:rsidRPr="00D613A6" w:rsidRDefault="00954442" w:rsidP="00954442">
            <w:pPr>
              <w:pStyle w:val="Pamatteksts1"/>
              <w:spacing w:before="40" w:after="40"/>
              <w:ind w:firstLine="0"/>
              <w:jc w:val="right"/>
              <w:rPr>
                <w:color w:val="17365D"/>
                <w:sz w:val="20"/>
                <w:szCs w:val="20"/>
              </w:rPr>
            </w:pPr>
            <w:r w:rsidRPr="00D613A6">
              <w:rPr>
                <w:color w:val="17365D"/>
                <w:sz w:val="20"/>
                <w:szCs w:val="20"/>
              </w:rPr>
              <w:t>1 070 009</w:t>
            </w:r>
          </w:p>
        </w:tc>
        <w:tc>
          <w:tcPr>
            <w:tcW w:w="1483" w:type="dxa"/>
            <w:tcBorders>
              <w:top w:val="single" w:sz="4" w:space="0" w:color="17365D"/>
              <w:left w:val="nil"/>
              <w:bottom w:val="nil"/>
              <w:right w:val="nil"/>
            </w:tcBorders>
            <w:shd w:val="clear" w:color="000000" w:fill="FFFFFF"/>
            <w:vAlign w:val="center"/>
          </w:tcPr>
          <w:p w14:paraId="1EE3D631" w14:textId="5D19EFFA" w:rsidR="00585C76" w:rsidRPr="00D613A6" w:rsidRDefault="00585C76" w:rsidP="00585C76">
            <w:pPr>
              <w:pStyle w:val="Pamatteksts1"/>
              <w:spacing w:before="40" w:after="40"/>
              <w:ind w:firstLine="0"/>
              <w:jc w:val="right"/>
              <w:rPr>
                <w:color w:val="17365D"/>
                <w:sz w:val="20"/>
                <w:szCs w:val="20"/>
              </w:rPr>
            </w:pPr>
            <w:r w:rsidRPr="00D613A6">
              <w:rPr>
                <w:color w:val="17365D"/>
                <w:sz w:val="20"/>
                <w:szCs w:val="20"/>
              </w:rPr>
              <w:t>882 366</w:t>
            </w:r>
          </w:p>
        </w:tc>
        <w:tc>
          <w:tcPr>
            <w:tcW w:w="1619" w:type="dxa"/>
            <w:tcBorders>
              <w:top w:val="single" w:sz="4" w:space="0" w:color="17365D"/>
              <w:left w:val="nil"/>
              <w:bottom w:val="nil"/>
              <w:right w:val="nil"/>
            </w:tcBorders>
            <w:shd w:val="clear" w:color="auto" w:fill="auto"/>
            <w:vAlign w:val="center"/>
          </w:tcPr>
          <w:p w14:paraId="259CC9BA" w14:textId="75B678C3" w:rsidR="00585C76" w:rsidRPr="00D613A6" w:rsidRDefault="00954442" w:rsidP="00954442">
            <w:pPr>
              <w:pStyle w:val="Pamatteksts1"/>
              <w:spacing w:before="60" w:after="60"/>
              <w:ind w:left="-107" w:right="-105" w:firstLine="0"/>
              <w:jc w:val="right"/>
              <w:rPr>
                <w:color w:val="17365D"/>
                <w:sz w:val="20"/>
                <w:szCs w:val="20"/>
              </w:rPr>
            </w:pPr>
            <w:r w:rsidRPr="00D613A6">
              <w:rPr>
                <w:color w:val="17365D"/>
                <w:sz w:val="20"/>
                <w:szCs w:val="20"/>
              </w:rPr>
              <w:t>187</w:t>
            </w:r>
            <w:r w:rsidR="00585C76" w:rsidRPr="00D613A6">
              <w:rPr>
                <w:color w:val="17365D"/>
                <w:sz w:val="20"/>
                <w:szCs w:val="20"/>
              </w:rPr>
              <w:t xml:space="preserve"> </w:t>
            </w:r>
            <w:r w:rsidRPr="00D613A6">
              <w:rPr>
                <w:color w:val="17365D"/>
                <w:sz w:val="20"/>
                <w:szCs w:val="20"/>
              </w:rPr>
              <w:t>643</w:t>
            </w:r>
          </w:p>
        </w:tc>
        <w:tc>
          <w:tcPr>
            <w:tcW w:w="1328" w:type="dxa"/>
            <w:tcBorders>
              <w:top w:val="single" w:sz="4" w:space="0" w:color="17365D"/>
              <w:left w:val="nil"/>
              <w:bottom w:val="nil"/>
              <w:right w:val="nil"/>
            </w:tcBorders>
            <w:shd w:val="clear" w:color="auto" w:fill="auto"/>
            <w:vAlign w:val="center"/>
          </w:tcPr>
          <w:p w14:paraId="0AF3B9B1" w14:textId="7ABC67D3" w:rsidR="00585C76" w:rsidRPr="00D613A6" w:rsidRDefault="00954442" w:rsidP="00585C76">
            <w:pPr>
              <w:pStyle w:val="Pamatteksts1"/>
              <w:spacing w:before="40" w:after="40"/>
              <w:ind w:firstLine="0"/>
              <w:jc w:val="right"/>
              <w:rPr>
                <w:color w:val="17365D"/>
                <w:sz w:val="20"/>
                <w:szCs w:val="20"/>
              </w:rPr>
            </w:pPr>
            <w:r w:rsidRPr="00D613A6">
              <w:rPr>
                <w:color w:val="17365D"/>
                <w:sz w:val="20"/>
                <w:szCs w:val="20"/>
              </w:rPr>
              <w:t>21.27</w:t>
            </w:r>
          </w:p>
        </w:tc>
      </w:tr>
      <w:tr w:rsidR="00D613A6" w:rsidRPr="00D613A6" w14:paraId="6222F5AC" w14:textId="77777777" w:rsidTr="00437740">
        <w:trPr>
          <w:trHeight w:val="284"/>
        </w:trPr>
        <w:tc>
          <w:tcPr>
            <w:tcW w:w="883" w:type="dxa"/>
            <w:tcBorders>
              <w:top w:val="nil"/>
              <w:bottom w:val="nil"/>
            </w:tcBorders>
            <w:shd w:val="clear" w:color="auto" w:fill="B9CDE5"/>
            <w:vAlign w:val="center"/>
          </w:tcPr>
          <w:p w14:paraId="496DEB02" w14:textId="77777777" w:rsidR="007D4D91" w:rsidRPr="00D613A6" w:rsidRDefault="007D4D91" w:rsidP="001D6C0C">
            <w:pPr>
              <w:spacing w:before="40" w:after="40"/>
              <w:ind w:firstLine="0"/>
              <w:jc w:val="left"/>
              <w:rPr>
                <w:bCs/>
                <w:color w:val="17365D"/>
                <w:sz w:val="20"/>
                <w:szCs w:val="20"/>
              </w:rPr>
            </w:pPr>
          </w:p>
        </w:tc>
        <w:tc>
          <w:tcPr>
            <w:tcW w:w="2569" w:type="dxa"/>
            <w:tcBorders>
              <w:top w:val="nil"/>
              <w:bottom w:val="nil"/>
            </w:tcBorders>
            <w:shd w:val="clear" w:color="auto" w:fill="B9CDE5"/>
            <w:vAlign w:val="center"/>
          </w:tcPr>
          <w:p w14:paraId="18DD7E13" w14:textId="77777777" w:rsidR="007D4D91" w:rsidRPr="00D613A6" w:rsidRDefault="007D4D91" w:rsidP="001D6C0C">
            <w:pPr>
              <w:pStyle w:val="Pamatteksts1"/>
              <w:spacing w:before="40" w:after="40"/>
              <w:ind w:firstLine="0"/>
              <w:rPr>
                <w:color w:val="17365D"/>
                <w:sz w:val="20"/>
                <w:szCs w:val="20"/>
              </w:rPr>
            </w:pPr>
          </w:p>
        </w:tc>
        <w:tc>
          <w:tcPr>
            <w:tcW w:w="1483" w:type="dxa"/>
            <w:tcBorders>
              <w:top w:val="nil"/>
              <w:bottom w:val="nil"/>
            </w:tcBorders>
            <w:shd w:val="clear" w:color="auto" w:fill="B9CDE5"/>
            <w:vAlign w:val="center"/>
          </w:tcPr>
          <w:p w14:paraId="043A6A49" w14:textId="77777777" w:rsidR="007D4D91" w:rsidRPr="00D613A6" w:rsidRDefault="007D4D91" w:rsidP="001D6C0C">
            <w:pPr>
              <w:pStyle w:val="Pamatteksts1"/>
              <w:spacing w:before="40" w:after="40"/>
              <w:ind w:firstLine="0"/>
              <w:jc w:val="right"/>
              <w:rPr>
                <w:color w:val="17365D"/>
                <w:sz w:val="20"/>
                <w:szCs w:val="20"/>
              </w:rPr>
            </w:pPr>
          </w:p>
        </w:tc>
        <w:tc>
          <w:tcPr>
            <w:tcW w:w="1483" w:type="dxa"/>
            <w:tcBorders>
              <w:top w:val="nil"/>
              <w:bottom w:val="nil"/>
            </w:tcBorders>
            <w:shd w:val="clear" w:color="auto" w:fill="B9CDE5"/>
            <w:vAlign w:val="center"/>
          </w:tcPr>
          <w:p w14:paraId="500C1BA8" w14:textId="77777777" w:rsidR="007D4D91" w:rsidRPr="00D613A6" w:rsidRDefault="007D4D91" w:rsidP="001D6C0C">
            <w:pPr>
              <w:pStyle w:val="Pamatteksts1"/>
              <w:spacing w:before="40" w:after="40"/>
              <w:ind w:firstLine="0"/>
              <w:jc w:val="right"/>
              <w:rPr>
                <w:color w:val="17365D"/>
                <w:sz w:val="20"/>
                <w:szCs w:val="20"/>
              </w:rPr>
            </w:pPr>
          </w:p>
        </w:tc>
        <w:tc>
          <w:tcPr>
            <w:tcW w:w="1619" w:type="dxa"/>
            <w:tcBorders>
              <w:top w:val="nil"/>
              <w:bottom w:val="nil"/>
            </w:tcBorders>
            <w:shd w:val="clear" w:color="auto" w:fill="B9CDE5"/>
            <w:vAlign w:val="center"/>
          </w:tcPr>
          <w:p w14:paraId="7B8DCB27" w14:textId="77777777" w:rsidR="007D4D91" w:rsidRPr="00D613A6" w:rsidRDefault="007D4D91" w:rsidP="001D6C0C">
            <w:pPr>
              <w:pStyle w:val="Pamatteksts1"/>
              <w:spacing w:before="60" w:after="60"/>
              <w:ind w:left="-107" w:right="-105" w:firstLine="0"/>
              <w:jc w:val="right"/>
              <w:rPr>
                <w:color w:val="17365D"/>
                <w:sz w:val="20"/>
                <w:szCs w:val="20"/>
              </w:rPr>
            </w:pPr>
          </w:p>
        </w:tc>
        <w:tc>
          <w:tcPr>
            <w:tcW w:w="1328" w:type="dxa"/>
            <w:tcBorders>
              <w:top w:val="nil"/>
              <w:bottom w:val="nil"/>
            </w:tcBorders>
            <w:shd w:val="clear" w:color="auto" w:fill="B9CDE5"/>
            <w:vAlign w:val="bottom"/>
          </w:tcPr>
          <w:p w14:paraId="09B7902E" w14:textId="77777777" w:rsidR="007D4D91" w:rsidRPr="00D613A6" w:rsidRDefault="007D4D91" w:rsidP="001D6C0C">
            <w:pPr>
              <w:pStyle w:val="Pamatteksts1"/>
              <w:spacing w:before="40" w:after="40"/>
              <w:ind w:firstLine="0"/>
              <w:jc w:val="right"/>
              <w:rPr>
                <w:color w:val="17365D"/>
                <w:sz w:val="20"/>
                <w:szCs w:val="20"/>
              </w:rPr>
            </w:pPr>
          </w:p>
        </w:tc>
      </w:tr>
    </w:tbl>
    <w:p w14:paraId="376E3745" w14:textId="205C2491" w:rsidR="00112728" w:rsidRPr="00D613A6" w:rsidRDefault="00112728" w:rsidP="00920EE3">
      <w:pPr>
        <w:pStyle w:val="Pamatteksts1"/>
        <w:ind w:firstLine="0"/>
        <w:rPr>
          <w:noProof w:val="0"/>
          <w:color w:val="17365D"/>
        </w:rPr>
      </w:pPr>
    </w:p>
    <w:p w14:paraId="272F798F" w14:textId="495CFEA3" w:rsidR="007B7BA8" w:rsidRPr="00D613A6" w:rsidRDefault="007B7BA8" w:rsidP="007B7BA8">
      <w:pPr>
        <w:pStyle w:val="Pamatteksts1"/>
        <w:rPr>
          <w:color w:val="17365D"/>
        </w:rPr>
      </w:pPr>
      <w:r w:rsidRPr="00D613A6">
        <w:rPr>
          <w:noProof w:val="0"/>
          <w:color w:val="17365D"/>
        </w:rPr>
        <w:t>Lielākās zie</w:t>
      </w:r>
      <w:r w:rsidR="00954442" w:rsidRPr="00D613A6">
        <w:rPr>
          <w:noProof w:val="0"/>
          <w:color w:val="17365D"/>
        </w:rPr>
        <w:t>dojumu un dāvinājumu summas 2024</w:t>
      </w:r>
      <w:r w:rsidRPr="00D613A6">
        <w:rPr>
          <w:noProof w:val="0"/>
          <w:color w:val="17365D"/>
        </w:rPr>
        <w:t>. gadā saņēmusi Kultūras ministrija 0,5 milj. </w:t>
      </w:r>
      <w:r w:rsidRPr="00D613A6">
        <w:rPr>
          <w:i/>
          <w:noProof w:val="0"/>
          <w:color w:val="17365D"/>
        </w:rPr>
        <w:t>euro</w:t>
      </w:r>
      <w:r w:rsidRPr="00D613A6">
        <w:rPr>
          <w:noProof w:val="0"/>
          <w:color w:val="17365D"/>
        </w:rPr>
        <w:t xml:space="preserve"> – </w:t>
      </w:r>
      <w:r w:rsidRPr="00D613A6">
        <w:rPr>
          <w:color w:val="17365D"/>
        </w:rPr>
        <w:t>mērķziedojumu</w:t>
      </w:r>
      <w:r w:rsidRPr="00D613A6">
        <w:rPr>
          <w:noProof w:val="0"/>
          <w:color w:val="17365D"/>
        </w:rPr>
        <w:t xml:space="preserve"> no </w:t>
      </w:r>
      <w:r w:rsidR="000A22A9" w:rsidRPr="00D613A6">
        <w:rPr>
          <w:noProof w:val="0"/>
          <w:color w:val="17365D"/>
        </w:rPr>
        <w:t>Borisa un Ināras Teterevu fonda</w:t>
      </w:r>
      <w:r w:rsidRPr="00D613A6">
        <w:rPr>
          <w:noProof w:val="0"/>
          <w:color w:val="17365D"/>
        </w:rPr>
        <w:t xml:space="preserve"> </w:t>
      </w:r>
      <w:r w:rsidR="000A22A9" w:rsidRPr="00D613A6">
        <w:rPr>
          <w:noProof w:val="0"/>
          <w:color w:val="17365D"/>
        </w:rPr>
        <w:t>atbalsts P</w:t>
      </w:r>
      <w:r w:rsidR="00043AFD" w:rsidRPr="00D613A6">
        <w:rPr>
          <w:noProof w:val="0"/>
          <w:color w:val="17365D"/>
        </w:rPr>
        <w:t>rado</w:t>
      </w:r>
      <w:r w:rsidR="000A22A9" w:rsidRPr="00D613A6">
        <w:rPr>
          <w:noProof w:val="0"/>
          <w:color w:val="17365D"/>
        </w:rPr>
        <w:t xml:space="preserve"> izstādei </w:t>
      </w:r>
      <w:r w:rsidRPr="00D613A6">
        <w:rPr>
          <w:noProof w:val="0"/>
          <w:color w:val="17365D"/>
        </w:rPr>
        <w:t xml:space="preserve">Latvijā, </w:t>
      </w:r>
      <w:r w:rsidR="000A22A9" w:rsidRPr="00D613A6">
        <w:rPr>
          <w:noProof w:val="0"/>
          <w:color w:val="17365D"/>
        </w:rPr>
        <w:t xml:space="preserve">ziedojums no fiziskas personas </w:t>
      </w:r>
      <w:r w:rsidR="000A22A9" w:rsidRPr="00D613A6">
        <w:rPr>
          <w:color w:val="17365D"/>
        </w:rPr>
        <w:t>L</w:t>
      </w:r>
      <w:r w:rsidR="00043AFD" w:rsidRPr="00D613A6">
        <w:rPr>
          <w:color w:val="17365D"/>
        </w:rPr>
        <w:t>atvijas Nacionālās bibliotēkas</w:t>
      </w:r>
      <w:r w:rsidR="000A22A9" w:rsidRPr="00D613A6">
        <w:rPr>
          <w:color w:val="17365D"/>
        </w:rPr>
        <w:t xml:space="preserve"> darbības nodrošināšanai</w:t>
      </w:r>
      <w:r w:rsidRPr="00D613A6">
        <w:rPr>
          <w:color w:val="17365D"/>
        </w:rPr>
        <w:t xml:space="preserve">, </w:t>
      </w:r>
      <w:r w:rsidR="00DB7187" w:rsidRPr="00D613A6">
        <w:rPr>
          <w:color w:val="17365D"/>
        </w:rPr>
        <w:t xml:space="preserve">ziedojums no Nākotnes atbalsta fonda un AS Rietumu Bankas </w:t>
      </w:r>
      <w:r w:rsidR="00DB7187" w:rsidRPr="00D613A6">
        <w:rPr>
          <w:noProof w:val="0"/>
          <w:color w:val="17365D"/>
        </w:rPr>
        <w:t xml:space="preserve">atbalstam </w:t>
      </w:r>
      <w:r w:rsidR="00F63C69" w:rsidRPr="00D613A6">
        <w:rPr>
          <w:color w:val="17365D"/>
        </w:rPr>
        <w:t>izstādei “</w:t>
      </w:r>
      <w:r w:rsidR="00DB7187" w:rsidRPr="00D613A6">
        <w:rPr>
          <w:color w:val="17365D"/>
        </w:rPr>
        <w:t>Ludolfs Liberts</w:t>
      </w:r>
      <w:r w:rsidR="00F63C69" w:rsidRPr="00D613A6">
        <w:rPr>
          <w:color w:val="17365D"/>
        </w:rPr>
        <w:t>. Art Deco Hipnotiskais spožums”</w:t>
      </w:r>
      <w:r w:rsidR="00DB7187" w:rsidRPr="00D613A6">
        <w:rPr>
          <w:color w:val="17365D"/>
        </w:rPr>
        <w:t>, ziedojums no R</w:t>
      </w:r>
      <w:r w:rsidR="00043AFD" w:rsidRPr="00D613A6">
        <w:rPr>
          <w:color w:val="17365D"/>
        </w:rPr>
        <w:t>oche</w:t>
      </w:r>
      <w:r w:rsidR="00DB7187" w:rsidRPr="00D613A6">
        <w:rPr>
          <w:color w:val="17365D"/>
        </w:rPr>
        <w:t xml:space="preserve"> </w:t>
      </w:r>
      <w:r w:rsidR="00043AFD" w:rsidRPr="00D613A6">
        <w:rPr>
          <w:color w:val="17365D"/>
        </w:rPr>
        <w:t>Finanz</w:t>
      </w:r>
      <w:r w:rsidR="00DB7187" w:rsidRPr="00D613A6">
        <w:rPr>
          <w:color w:val="17365D"/>
        </w:rPr>
        <w:t xml:space="preserve"> AG atbalstam izstādei “Korpo</w:t>
      </w:r>
      <w:r w:rsidR="00F63C69" w:rsidRPr="00D613A6">
        <w:rPr>
          <w:color w:val="17365D"/>
        </w:rPr>
        <w:t>ratīvā dizaina pieredze. R</w:t>
      </w:r>
      <w:r w:rsidR="00043AFD" w:rsidRPr="00D613A6">
        <w:rPr>
          <w:color w:val="17365D"/>
        </w:rPr>
        <w:t>oche</w:t>
      </w:r>
      <w:r w:rsidR="00F63C69" w:rsidRPr="00D613A6">
        <w:rPr>
          <w:color w:val="17365D"/>
        </w:rPr>
        <w:t>”</w:t>
      </w:r>
      <w:r w:rsidRPr="00D613A6">
        <w:rPr>
          <w:color w:val="17365D"/>
        </w:rPr>
        <w:t>.</w:t>
      </w:r>
    </w:p>
    <w:p w14:paraId="0FE55346" w14:textId="0EAF0804" w:rsidR="006D43C7" w:rsidRPr="00D613A6" w:rsidRDefault="007B7BA8" w:rsidP="007B7BA8">
      <w:pPr>
        <w:pStyle w:val="Pamatteksts1"/>
        <w:rPr>
          <w:noProof w:val="0"/>
          <w:color w:val="17365D"/>
        </w:rPr>
      </w:pPr>
      <w:r w:rsidRPr="00D613A6">
        <w:rPr>
          <w:noProof w:val="0"/>
          <w:color w:val="17365D"/>
        </w:rPr>
        <w:t>Izglītības un zinātnes ministrija saņēmusi ziedojumus 0,</w:t>
      </w:r>
      <w:r w:rsidR="006D43C7" w:rsidRPr="00D613A6">
        <w:rPr>
          <w:noProof w:val="0"/>
          <w:color w:val="17365D"/>
        </w:rPr>
        <w:t>3</w:t>
      </w:r>
      <w:r w:rsidRPr="00D613A6">
        <w:rPr>
          <w:noProof w:val="0"/>
          <w:color w:val="17365D"/>
        </w:rPr>
        <w:t xml:space="preserve"> milj. </w:t>
      </w:r>
      <w:r w:rsidRPr="00D613A6">
        <w:rPr>
          <w:i/>
          <w:noProof w:val="0"/>
          <w:color w:val="17365D"/>
        </w:rPr>
        <w:t>euro</w:t>
      </w:r>
      <w:r w:rsidRPr="00D613A6">
        <w:rPr>
          <w:noProof w:val="0"/>
          <w:color w:val="17365D"/>
        </w:rPr>
        <w:t xml:space="preserve"> vērtībā, t.sk., saņemti naudas līdzekļi no </w:t>
      </w:r>
      <w:r w:rsidR="00DB7187" w:rsidRPr="00D613A6">
        <w:rPr>
          <w:noProof w:val="0"/>
          <w:color w:val="17365D"/>
        </w:rPr>
        <w:t>Borisa un Ināras Teterevu fonda atbalsts grāmatu izdošanai, fiziska persona ziedojusi līdzekļus stipendiju izmaksai studentiem un mērķziedojums Ve</w:t>
      </w:r>
      <w:r w:rsidR="00427151" w:rsidRPr="00D613A6">
        <w:rPr>
          <w:noProof w:val="0"/>
          <w:color w:val="17365D"/>
        </w:rPr>
        <w:t>ntspils augstskolas</w:t>
      </w:r>
      <w:r w:rsidR="00DB7187" w:rsidRPr="00D613A6">
        <w:rPr>
          <w:noProof w:val="0"/>
          <w:color w:val="17365D"/>
        </w:rPr>
        <w:t xml:space="preserve"> infrastruktūras iegādei</w:t>
      </w:r>
      <w:r w:rsidRPr="00D613A6">
        <w:rPr>
          <w:noProof w:val="0"/>
          <w:color w:val="17365D"/>
        </w:rPr>
        <w:t xml:space="preserve">, </w:t>
      </w:r>
      <w:r w:rsidR="006D43C7" w:rsidRPr="00D613A6">
        <w:rPr>
          <w:noProof w:val="0"/>
          <w:color w:val="17365D"/>
        </w:rPr>
        <w:t>H</w:t>
      </w:r>
      <w:r w:rsidR="00043AFD" w:rsidRPr="00D613A6">
        <w:rPr>
          <w:noProof w:val="0"/>
          <w:color w:val="17365D"/>
        </w:rPr>
        <w:t>anse</w:t>
      </w:r>
      <w:r w:rsidR="006E06CE" w:rsidRPr="00D613A6">
        <w:rPr>
          <w:noProof w:val="0"/>
          <w:color w:val="17365D"/>
        </w:rPr>
        <w:t>–</w:t>
      </w:r>
      <w:r w:rsidR="006D43C7" w:rsidRPr="00D613A6">
        <w:rPr>
          <w:noProof w:val="0"/>
          <w:color w:val="17365D"/>
        </w:rPr>
        <w:t>P</w:t>
      </w:r>
      <w:r w:rsidR="00043AFD" w:rsidRPr="00D613A6">
        <w:rPr>
          <w:noProof w:val="0"/>
          <w:color w:val="17365D"/>
        </w:rPr>
        <w:t>arlament</w:t>
      </w:r>
      <w:r w:rsidR="006D43C7" w:rsidRPr="00D613A6">
        <w:rPr>
          <w:noProof w:val="0"/>
          <w:color w:val="17365D"/>
        </w:rPr>
        <w:t xml:space="preserve"> E.V. ziedojums projektam.</w:t>
      </w:r>
    </w:p>
    <w:p w14:paraId="63572748" w14:textId="03CB409F" w:rsidR="007B7BA8" w:rsidRPr="00D613A6" w:rsidRDefault="006D43C7" w:rsidP="007B7BA8">
      <w:pPr>
        <w:pStyle w:val="Pamatteksts1"/>
        <w:rPr>
          <w:color w:val="17365D"/>
        </w:rPr>
      </w:pPr>
      <w:r w:rsidRPr="00D613A6">
        <w:rPr>
          <w:noProof w:val="0"/>
          <w:color w:val="17365D"/>
        </w:rPr>
        <w:lastRenderedPageBreak/>
        <w:t>Veselības ministrija saņēmusi ziedojumus 0,3 milj. </w:t>
      </w:r>
      <w:r w:rsidRPr="00D613A6">
        <w:rPr>
          <w:i/>
          <w:noProof w:val="0"/>
          <w:color w:val="17365D"/>
        </w:rPr>
        <w:t>euro</w:t>
      </w:r>
      <w:r w:rsidRPr="00D613A6">
        <w:rPr>
          <w:noProof w:val="0"/>
          <w:color w:val="17365D"/>
        </w:rPr>
        <w:t xml:space="preserve"> vērtībā, t.sk., saņemti naudas līdzekļi no Amar Foundation pētniecībai, no L</w:t>
      </w:r>
      <w:r w:rsidR="00043AFD" w:rsidRPr="00D613A6">
        <w:rPr>
          <w:noProof w:val="0"/>
          <w:color w:val="17365D"/>
        </w:rPr>
        <w:t>index</w:t>
      </w:r>
      <w:r w:rsidRPr="00D613A6">
        <w:rPr>
          <w:noProof w:val="0"/>
          <w:color w:val="17365D"/>
        </w:rPr>
        <w:t xml:space="preserve"> L</w:t>
      </w:r>
      <w:r w:rsidR="00043AFD" w:rsidRPr="00D613A6">
        <w:rPr>
          <w:noProof w:val="0"/>
          <w:color w:val="17365D"/>
        </w:rPr>
        <w:t>atvia</w:t>
      </w:r>
      <w:r w:rsidRPr="00D613A6">
        <w:rPr>
          <w:noProof w:val="0"/>
          <w:color w:val="17365D"/>
        </w:rPr>
        <w:t xml:space="preserve">, SIA ziedojums RSU Onkoloģijas institūta darba finansēšanai pētījumu veikšana krūts vēža jomā </w:t>
      </w:r>
      <w:r w:rsidRPr="00D613A6">
        <w:rPr>
          <w:color w:val="17365D"/>
        </w:rPr>
        <w:t>un FiteBac Technologies ziedojums G</w:t>
      </w:r>
      <w:r w:rsidR="00043AFD" w:rsidRPr="00D613A6">
        <w:rPr>
          <w:color w:val="17365D"/>
        </w:rPr>
        <w:t>rant</w:t>
      </w:r>
      <w:r w:rsidRPr="00D613A6">
        <w:rPr>
          <w:color w:val="17365D"/>
        </w:rPr>
        <w:t xml:space="preserve"> F</w:t>
      </w:r>
      <w:r w:rsidR="00043AFD" w:rsidRPr="00D613A6">
        <w:rPr>
          <w:color w:val="17365D"/>
        </w:rPr>
        <w:t>itebac</w:t>
      </w:r>
      <w:r w:rsidRPr="00D613A6">
        <w:rPr>
          <w:color w:val="17365D"/>
        </w:rPr>
        <w:t xml:space="preserve"> T</w:t>
      </w:r>
      <w:r w:rsidR="00043AFD" w:rsidRPr="00D613A6">
        <w:rPr>
          <w:color w:val="17365D"/>
        </w:rPr>
        <w:t>echnology</w:t>
      </w:r>
      <w:r w:rsidRPr="00D613A6">
        <w:rPr>
          <w:color w:val="17365D"/>
        </w:rPr>
        <w:t xml:space="preserve"> projektam.</w:t>
      </w:r>
    </w:p>
    <w:p w14:paraId="3967EA4C" w14:textId="35C83C83" w:rsidR="007B7BA8" w:rsidRPr="00D613A6" w:rsidRDefault="007B7BA8" w:rsidP="000D0916">
      <w:pPr>
        <w:pStyle w:val="Bullets"/>
        <w:numPr>
          <w:ilvl w:val="0"/>
          <w:numId w:val="0"/>
        </w:numPr>
        <w:ind w:firstLine="567"/>
        <w:rPr>
          <w:color w:val="17365D"/>
        </w:rPr>
      </w:pPr>
      <w:r w:rsidRPr="00D613A6">
        <w:rPr>
          <w:b/>
          <w:color w:val="17365D"/>
        </w:rPr>
        <mc:AlternateContent>
          <mc:Choice Requires="wps">
            <w:drawing>
              <wp:anchor distT="0" distB="0" distL="114300" distR="114300" simplePos="0" relativeHeight="251658752" behindDoc="1" locked="0" layoutInCell="1" allowOverlap="1" wp14:anchorId="0C7738E8" wp14:editId="0DD34913">
                <wp:simplePos x="0" y="0"/>
                <wp:positionH relativeFrom="column">
                  <wp:posOffset>4262755</wp:posOffset>
                </wp:positionH>
                <wp:positionV relativeFrom="paragraph">
                  <wp:posOffset>12700</wp:posOffset>
                </wp:positionV>
                <wp:extent cx="1680845" cy="744855"/>
                <wp:effectExtent l="0" t="0" r="14605" b="17145"/>
                <wp:wrapSquare wrapText="bothSides"/>
                <wp:docPr id="15" name="Rectangle 15"/>
                <wp:cNvGraphicFramePr/>
                <a:graphic xmlns:a="http://schemas.openxmlformats.org/drawingml/2006/main">
                  <a:graphicData uri="http://schemas.microsoft.com/office/word/2010/wordprocessingShape">
                    <wps:wsp>
                      <wps:cNvSpPr/>
                      <wps:spPr>
                        <a:xfrm>
                          <a:off x="0" y="0"/>
                          <a:ext cx="1680845" cy="744855"/>
                        </a:xfrm>
                        <a:prstGeom prst="rect">
                          <a:avLst/>
                        </a:prstGeom>
                        <a:solidFill>
                          <a:sysClr val="window" lastClr="FFFFFF"/>
                        </a:solidFill>
                        <a:ln w="25400" cap="flat" cmpd="sng" algn="ctr">
                          <a:solidFill>
                            <a:srgbClr val="17365D"/>
                          </a:solidFill>
                          <a:prstDash val="sysDot"/>
                        </a:ln>
                        <a:effectLst/>
                      </wps:spPr>
                      <wps:txbx>
                        <w:txbxContent>
                          <w:p w14:paraId="4501F648" w14:textId="77777777" w:rsidR="000A5BFC" w:rsidRPr="00815A40" w:rsidRDefault="000A5BFC"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08E38852" w:rsidR="000A5BFC" w:rsidRPr="00A055BF" w:rsidRDefault="000A5BFC" w:rsidP="003E5058">
                            <w:pPr>
                              <w:ind w:firstLine="0"/>
                              <w:jc w:val="center"/>
                              <w:rPr>
                                <w:b/>
                                <w:color w:val="17365D"/>
                              </w:rPr>
                            </w:pPr>
                            <w:r w:rsidRPr="00A055BF">
                              <w:rPr>
                                <w:b/>
                                <w:color w:val="17365D"/>
                              </w:rPr>
                              <w:t xml:space="preserve">1 </w:t>
                            </w:r>
                            <w:r>
                              <w:rPr>
                                <w:b/>
                                <w:color w:val="17365D"/>
                              </w:rPr>
                              <w:t xml:space="preserve">246 029 </w:t>
                            </w:r>
                            <w:r w:rsidRPr="00A055BF">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738E8" id="Rectangle 15" o:spid="_x0000_s1033" style="position:absolute;left:0;text-align:left;margin-left:335.65pt;margin-top:1pt;width:132.3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" fillcolor="window" strokecolor="#17365d" strokeweight="2pt">
                <v:stroke dashstyle="1 1"/>
                <v:textbox>
                  <w:txbxContent>
                    <w:p w14:paraId="4501F648" w14:textId="77777777" w:rsidR="000A5BFC" w:rsidRPr="00815A40" w:rsidRDefault="000A5BFC"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08E38852" w:rsidR="000A5BFC" w:rsidRPr="00A055BF" w:rsidRDefault="000A5BFC" w:rsidP="003E5058">
                      <w:pPr>
                        <w:ind w:firstLine="0"/>
                        <w:jc w:val="center"/>
                        <w:rPr>
                          <w:b/>
                          <w:color w:val="17365D"/>
                        </w:rPr>
                      </w:pPr>
                      <w:r w:rsidRPr="00A055BF">
                        <w:rPr>
                          <w:b/>
                          <w:color w:val="17365D"/>
                        </w:rPr>
                        <w:t xml:space="preserve">1 </w:t>
                      </w:r>
                      <w:r>
                        <w:rPr>
                          <w:b/>
                          <w:color w:val="17365D"/>
                        </w:rPr>
                        <w:t xml:space="preserve">246 029 </w:t>
                      </w:r>
                      <w:r w:rsidRPr="00A055BF">
                        <w:rPr>
                          <w:i/>
                          <w:color w:val="17365D"/>
                        </w:rPr>
                        <w:t>euro</w:t>
                      </w:r>
                    </w:p>
                  </w:txbxContent>
                </v:textbox>
                <w10:wrap type="square"/>
              </v:rect>
            </w:pict>
          </mc:Fallback>
        </mc:AlternateContent>
      </w:r>
      <w:r w:rsidR="00943193" w:rsidRPr="00D613A6">
        <w:rPr>
          <w:noProof w:val="0"/>
          <w:color w:val="17365D"/>
        </w:rPr>
        <w:t>Valsts budžet</w:t>
      </w:r>
      <w:r w:rsidR="008864BD" w:rsidRPr="00D613A6">
        <w:rPr>
          <w:noProof w:val="0"/>
          <w:color w:val="17365D"/>
        </w:rPr>
        <w:t>ā</w:t>
      </w:r>
      <w:r w:rsidR="00943193" w:rsidRPr="00D613A6">
        <w:rPr>
          <w:noProof w:val="0"/>
          <w:color w:val="17365D"/>
        </w:rPr>
        <w:t xml:space="preserve"> saņemto </w:t>
      </w:r>
      <w:r w:rsidR="00943193" w:rsidRPr="00D613A6">
        <w:rPr>
          <w:bCs/>
          <w:noProof w:val="0"/>
          <w:color w:val="17365D"/>
        </w:rPr>
        <w:t>ziedojumu un dāvinājumu</w:t>
      </w:r>
      <w:r w:rsidR="00943193" w:rsidRPr="00D613A6">
        <w:rPr>
          <w:b/>
          <w:bCs/>
          <w:noProof w:val="0"/>
          <w:color w:val="17365D"/>
        </w:rPr>
        <w:t xml:space="preserve"> izlietojums</w:t>
      </w:r>
      <w:r w:rsidR="00943193" w:rsidRPr="00D613A6">
        <w:rPr>
          <w:noProof w:val="0"/>
          <w:color w:val="17365D"/>
        </w:rPr>
        <w:t xml:space="preserve"> pārskata gadā ir </w:t>
      </w:r>
      <w:r w:rsidR="00A055BF" w:rsidRPr="00D613A6">
        <w:rPr>
          <w:noProof w:val="0"/>
          <w:color w:val="17365D"/>
        </w:rPr>
        <w:t>1</w:t>
      </w:r>
      <w:r w:rsidR="00943193" w:rsidRPr="00D613A6">
        <w:rPr>
          <w:noProof w:val="0"/>
          <w:color w:val="17365D"/>
        </w:rPr>
        <w:t>,</w:t>
      </w:r>
      <w:r w:rsidR="00A055BF" w:rsidRPr="00D613A6">
        <w:rPr>
          <w:noProof w:val="0"/>
          <w:color w:val="17365D"/>
        </w:rPr>
        <w:t>2</w:t>
      </w:r>
      <w:r w:rsidR="00373787" w:rsidRPr="00D613A6">
        <w:rPr>
          <w:noProof w:val="0"/>
          <w:color w:val="17365D"/>
        </w:rPr>
        <w:t> </w:t>
      </w:r>
      <w:r w:rsidR="00392A1F" w:rsidRPr="00D613A6">
        <w:rPr>
          <w:noProof w:val="0"/>
          <w:color w:val="17365D"/>
        </w:rPr>
        <w:t>milj. </w:t>
      </w:r>
      <w:r w:rsidR="00EF7B9A" w:rsidRPr="00D613A6">
        <w:rPr>
          <w:i/>
          <w:noProof w:val="0"/>
          <w:color w:val="17365D"/>
        </w:rPr>
        <w:t>euro</w:t>
      </w:r>
      <w:r w:rsidR="00B07BC5" w:rsidRPr="00D613A6">
        <w:rPr>
          <w:i/>
          <w:noProof w:val="0"/>
          <w:color w:val="17365D"/>
        </w:rPr>
        <w:t xml:space="preserve"> </w:t>
      </w:r>
      <w:r w:rsidR="00B07BC5" w:rsidRPr="00D613A6">
        <w:rPr>
          <w:noProof w:val="0"/>
          <w:color w:val="17365D"/>
        </w:rPr>
        <w:t>vērtībā</w:t>
      </w:r>
      <w:r w:rsidR="00943193" w:rsidRPr="00D613A6">
        <w:rPr>
          <w:noProof w:val="0"/>
          <w:color w:val="17365D"/>
        </w:rPr>
        <w:t>,</w:t>
      </w:r>
      <w:r w:rsidR="00392A1F" w:rsidRPr="00D613A6">
        <w:rPr>
          <w:noProof w:val="0"/>
          <w:color w:val="17365D"/>
        </w:rPr>
        <w:t xml:space="preserve"> </w:t>
      </w:r>
      <w:r w:rsidR="00943193" w:rsidRPr="00D613A6">
        <w:rPr>
          <w:noProof w:val="0"/>
          <w:color w:val="17365D"/>
        </w:rPr>
        <w:t>kas</w:t>
      </w:r>
      <w:r w:rsidR="00916378" w:rsidRPr="00D613A6">
        <w:rPr>
          <w:noProof w:val="0"/>
          <w:color w:val="17365D"/>
        </w:rPr>
        <w:t>,</w:t>
      </w:r>
      <w:r w:rsidR="00943193" w:rsidRPr="00D613A6">
        <w:rPr>
          <w:noProof w:val="0"/>
          <w:color w:val="17365D"/>
        </w:rPr>
        <w:t xml:space="preserve"> salīdzinot ar </w:t>
      </w:r>
      <w:r w:rsidR="008F2503" w:rsidRPr="00D613A6">
        <w:rPr>
          <w:noProof w:val="0"/>
          <w:color w:val="17365D"/>
        </w:rPr>
        <w:t>20</w:t>
      </w:r>
      <w:r w:rsidR="003B0DF3" w:rsidRPr="00D613A6">
        <w:rPr>
          <w:noProof w:val="0"/>
          <w:color w:val="17365D"/>
        </w:rPr>
        <w:t>2</w:t>
      </w:r>
      <w:r w:rsidR="00954442" w:rsidRPr="00D613A6">
        <w:rPr>
          <w:noProof w:val="0"/>
          <w:color w:val="17365D"/>
        </w:rPr>
        <w:t>3</w:t>
      </w:r>
      <w:r w:rsidR="008F2503" w:rsidRPr="00D613A6">
        <w:rPr>
          <w:noProof w:val="0"/>
          <w:color w:val="17365D"/>
        </w:rPr>
        <w:t>. </w:t>
      </w:r>
      <w:r w:rsidR="006F4AF2" w:rsidRPr="00D613A6">
        <w:rPr>
          <w:noProof w:val="0"/>
          <w:color w:val="17365D"/>
        </w:rPr>
        <w:t>gadu</w:t>
      </w:r>
      <w:r w:rsidR="00916378" w:rsidRPr="00D613A6">
        <w:rPr>
          <w:noProof w:val="0"/>
          <w:color w:val="17365D"/>
        </w:rPr>
        <w:t>,</w:t>
      </w:r>
      <w:r w:rsidR="00943193" w:rsidRPr="00D613A6">
        <w:rPr>
          <w:noProof w:val="0"/>
          <w:color w:val="17365D"/>
        </w:rPr>
        <w:t xml:space="preserve"> </w:t>
      </w:r>
      <w:r w:rsidR="00954442" w:rsidRPr="00D613A6">
        <w:rPr>
          <w:noProof w:val="0"/>
          <w:color w:val="17365D"/>
        </w:rPr>
        <w:t>palielinājies</w:t>
      </w:r>
      <w:r w:rsidR="00943193" w:rsidRPr="00D613A6">
        <w:rPr>
          <w:noProof w:val="0"/>
          <w:color w:val="17365D"/>
        </w:rPr>
        <w:t xml:space="preserve"> par </w:t>
      </w:r>
      <w:r w:rsidR="00954442" w:rsidRPr="00D613A6">
        <w:rPr>
          <w:noProof w:val="0"/>
          <w:color w:val="17365D"/>
        </w:rPr>
        <w:t>0</w:t>
      </w:r>
      <w:r w:rsidR="00943193" w:rsidRPr="00D613A6">
        <w:rPr>
          <w:noProof w:val="0"/>
          <w:color w:val="17365D"/>
        </w:rPr>
        <w:t>,</w:t>
      </w:r>
      <w:r w:rsidR="00954442" w:rsidRPr="00D613A6">
        <w:rPr>
          <w:noProof w:val="0"/>
          <w:color w:val="17365D"/>
        </w:rPr>
        <w:t>1</w:t>
      </w:r>
      <w:r w:rsidR="005F0515" w:rsidRPr="00D613A6">
        <w:rPr>
          <w:noProof w:val="0"/>
          <w:color w:val="17365D"/>
        </w:rPr>
        <w:t> </w:t>
      </w:r>
      <w:r w:rsidR="00943193" w:rsidRPr="00D613A6">
        <w:rPr>
          <w:noProof w:val="0"/>
          <w:color w:val="17365D"/>
        </w:rPr>
        <w:t>milj</w:t>
      </w:r>
      <w:r w:rsidR="00392A1F" w:rsidRPr="00D613A6">
        <w:rPr>
          <w:noProof w:val="0"/>
          <w:color w:val="17365D"/>
        </w:rPr>
        <w:t>. </w:t>
      </w:r>
      <w:r w:rsidR="00EF7B9A" w:rsidRPr="00D613A6">
        <w:rPr>
          <w:i/>
          <w:noProof w:val="0"/>
          <w:color w:val="17365D"/>
        </w:rPr>
        <w:t>euro</w:t>
      </w:r>
      <w:r w:rsidR="00392A1F" w:rsidRPr="00D613A6">
        <w:rPr>
          <w:noProof w:val="0"/>
          <w:color w:val="17365D"/>
        </w:rPr>
        <w:t xml:space="preserve"> </w:t>
      </w:r>
      <w:r w:rsidR="00943193" w:rsidRPr="00D613A6">
        <w:rPr>
          <w:noProof w:val="0"/>
          <w:color w:val="17365D"/>
        </w:rPr>
        <w:t xml:space="preserve">jeb </w:t>
      </w:r>
      <w:r w:rsidR="00954442" w:rsidRPr="00D613A6">
        <w:rPr>
          <w:noProof w:val="0"/>
          <w:color w:val="17365D"/>
        </w:rPr>
        <w:t>6</w:t>
      </w:r>
      <w:r w:rsidR="00943193" w:rsidRPr="00D613A6">
        <w:rPr>
          <w:noProof w:val="0"/>
          <w:color w:val="17365D"/>
        </w:rPr>
        <w:t>,</w:t>
      </w:r>
      <w:r w:rsidR="00954442" w:rsidRPr="00D613A6">
        <w:rPr>
          <w:noProof w:val="0"/>
          <w:color w:val="17365D"/>
        </w:rPr>
        <w:t>25</w:t>
      </w:r>
      <w:r w:rsidR="006A7956" w:rsidRPr="00D613A6">
        <w:rPr>
          <w:noProof w:val="0"/>
          <w:color w:val="17365D"/>
        </w:rPr>
        <w:t> %</w:t>
      </w:r>
      <w:r w:rsidR="00943193" w:rsidRPr="00D613A6">
        <w:rPr>
          <w:noProof w:val="0"/>
          <w:color w:val="17365D"/>
        </w:rPr>
        <w:t xml:space="preserve"> </w:t>
      </w:r>
      <w:r w:rsidR="00780F43" w:rsidRPr="00D613A6">
        <w:rPr>
          <w:noProof w:val="0"/>
          <w:color w:val="17365D"/>
        </w:rPr>
        <w:t xml:space="preserve">(skatīt </w:t>
      </w:r>
      <w:r w:rsidR="00872488" w:rsidRPr="00D613A6">
        <w:rPr>
          <w:noProof w:val="0"/>
          <w:color w:val="17365D"/>
        </w:rPr>
        <w:t>6.</w:t>
      </w:r>
      <w:r w:rsidR="00641409" w:rsidRPr="00D613A6">
        <w:rPr>
          <w:noProof w:val="0"/>
          <w:color w:val="17365D"/>
        </w:rPr>
        <w:t>9</w:t>
      </w:r>
      <w:r w:rsidR="00F62054" w:rsidRPr="00D613A6">
        <w:rPr>
          <w:noProof w:val="0"/>
          <w:color w:val="17365D"/>
        </w:rPr>
        <w:t>.</w:t>
      </w:r>
      <w:r w:rsidR="00FB4468" w:rsidRPr="00D613A6">
        <w:rPr>
          <w:noProof w:val="0"/>
          <w:color w:val="17365D"/>
        </w:rPr>
        <w:t> </w:t>
      </w:r>
      <w:r w:rsidR="00F62054" w:rsidRPr="00D613A6">
        <w:rPr>
          <w:noProof w:val="0"/>
          <w:color w:val="17365D"/>
        </w:rPr>
        <w:t>tabul</w:t>
      </w:r>
      <w:r w:rsidR="00780F43" w:rsidRPr="00D613A6">
        <w:rPr>
          <w:noProof w:val="0"/>
          <w:color w:val="17365D"/>
        </w:rPr>
        <w:t>u),</w:t>
      </w:r>
      <w:r w:rsidR="00F62054" w:rsidRPr="00D613A6">
        <w:rPr>
          <w:noProof w:val="0"/>
          <w:color w:val="17365D"/>
        </w:rPr>
        <w:t xml:space="preserve"> </w:t>
      </w:r>
      <w:r w:rsidR="0048290C" w:rsidRPr="00D613A6">
        <w:rPr>
          <w:noProof w:val="0"/>
          <w:color w:val="17365D"/>
        </w:rPr>
        <w:t xml:space="preserve">lielākās izmaiņas </w:t>
      </w:r>
      <w:r w:rsidR="00F62054" w:rsidRPr="00D613A6">
        <w:rPr>
          <w:noProof w:val="0"/>
          <w:color w:val="17365D"/>
        </w:rPr>
        <w:t>izdevum</w:t>
      </w:r>
      <w:r w:rsidR="0048290C" w:rsidRPr="00D613A6">
        <w:rPr>
          <w:noProof w:val="0"/>
          <w:color w:val="17365D"/>
        </w:rPr>
        <w:t>os bija</w:t>
      </w:r>
      <w:r w:rsidR="00263B8B" w:rsidRPr="00D613A6">
        <w:rPr>
          <w:noProof w:val="0"/>
          <w:color w:val="17365D"/>
        </w:rPr>
        <w:t xml:space="preserve"> </w:t>
      </w:r>
      <w:r w:rsidR="00954442" w:rsidRPr="00D613A6">
        <w:rPr>
          <w:noProof w:val="0"/>
          <w:color w:val="17365D"/>
        </w:rPr>
        <w:t>pamatkapitāla veidošanai</w:t>
      </w:r>
      <w:r w:rsidR="00F62054" w:rsidRPr="00D613A6">
        <w:rPr>
          <w:noProof w:val="0"/>
          <w:color w:val="17365D"/>
        </w:rPr>
        <w:t xml:space="preserve"> </w:t>
      </w:r>
      <w:r w:rsidR="00954442" w:rsidRPr="00D613A6">
        <w:rPr>
          <w:noProof w:val="0"/>
          <w:color w:val="17365D"/>
        </w:rPr>
        <w:t>0</w:t>
      </w:r>
      <w:r w:rsidR="00F62054" w:rsidRPr="00D613A6">
        <w:rPr>
          <w:noProof w:val="0"/>
          <w:color w:val="17365D"/>
        </w:rPr>
        <w:t>,</w:t>
      </w:r>
      <w:r w:rsidR="00A055BF" w:rsidRPr="00D613A6">
        <w:rPr>
          <w:noProof w:val="0"/>
          <w:color w:val="17365D"/>
        </w:rPr>
        <w:t>1</w:t>
      </w:r>
      <w:r w:rsidR="00F62054" w:rsidRPr="00D613A6">
        <w:rPr>
          <w:noProof w:val="0"/>
          <w:color w:val="17365D"/>
        </w:rPr>
        <w:t> milj. </w:t>
      </w:r>
      <w:r w:rsidR="00F62054" w:rsidRPr="00D613A6">
        <w:rPr>
          <w:i/>
          <w:noProof w:val="0"/>
          <w:color w:val="17365D"/>
        </w:rPr>
        <w:t>euro</w:t>
      </w:r>
      <w:r w:rsidR="00732ED7" w:rsidRPr="00D613A6">
        <w:rPr>
          <w:noProof w:val="0"/>
          <w:color w:val="17365D"/>
        </w:rPr>
        <w:t>.</w:t>
      </w:r>
      <w:r w:rsidR="00780F43" w:rsidRPr="00D613A6">
        <w:rPr>
          <w:noProof w:val="0"/>
          <w:color w:val="17365D"/>
        </w:rPr>
        <w:t xml:space="preserve"> </w:t>
      </w:r>
      <w:r w:rsidR="00BC5339" w:rsidRPr="00D613A6">
        <w:rPr>
          <w:noProof w:val="0"/>
          <w:color w:val="17365D"/>
        </w:rPr>
        <w:t xml:space="preserve">Lielākos izdevumus veica </w:t>
      </w:r>
      <w:r w:rsidR="00EA59C1" w:rsidRPr="00D613A6">
        <w:rPr>
          <w:noProof w:val="0"/>
          <w:color w:val="17365D"/>
        </w:rPr>
        <w:t xml:space="preserve">Kultūras ministrija </w:t>
      </w:r>
      <w:r w:rsidR="00263B8B" w:rsidRPr="00D613A6">
        <w:rPr>
          <w:noProof w:val="0"/>
          <w:color w:val="17365D"/>
        </w:rPr>
        <w:t>0</w:t>
      </w:r>
      <w:r w:rsidR="00EA59C1" w:rsidRPr="00D613A6">
        <w:rPr>
          <w:noProof w:val="0"/>
          <w:color w:val="17365D"/>
        </w:rPr>
        <w:t>,</w:t>
      </w:r>
      <w:r w:rsidR="004E6928" w:rsidRPr="00D613A6">
        <w:rPr>
          <w:noProof w:val="0"/>
          <w:color w:val="17365D"/>
        </w:rPr>
        <w:t>5</w:t>
      </w:r>
      <w:r w:rsidR="00263B8B" w:rsidRPr="00D613A6">
        <w:rPr>
          <w:noProof w:val="0"/>
          <w:color w:val="17365D"/>
        </w:rPr>
        <w:t> </w:t>
      </w:r>
      <w:r w:rsidR="00EA59C1" w:rsidRPr="00D613A6">
        <w:rPr>
          <w:color w:val="17365D"/>
        </w:rPr>
        <w:t xml:space="preserve">milj. </w:t>
      </w:r>
      <w:r w:rsidR="00EA59C1" w:rsidRPr="00D613A6">
        <w:rPr>
          <w:i/>
          <w:color w:val="17365D"/>
        </w:rPr>
        <w:t>euro</w:t>
      </w:r>
      <w:r w:rsidR="00EA59C1" w:rsidRPr="00D613A6">
        <w:rPr>
          <w:color w:val="17365D"/>
        </w:rPr>
        <w:t xml:space="preserve"> </w:t>
      </w:r>
      <w:r w:rsidR="004E6928" w:rsidRPr="00D613A6">
        <w:rPr>
          <w:color w:val="17365D"/>
        </w:rPr>
        <w:t xml:space="preserve">par precēm un pakalpojumiem, </w:t>
      </w:r>
      <w:r w:rsidR="00452949" w:rsidRPr="00D613A6">
        <w:rPr>
          <w:color w:val="17365D"/>
        </w:rPr>
        <w:t xml:space="preserve">subsīdiju </w:t>
      </w:r>
      <w:r w:rsidR="00F107D6" w:rsidRPr="00D613A6">
        <w:rPr>
          <w:color w:val="17365D"/>
        </w:rPr>
        <w:t xml:space="preserve">un dotāciju </w:t>
      </w:r>
      <w:r w:rsidR="00452949" w:rsidRPr="00D613A6">
        <w:rPr>
          <w:color w:val="17365D"/>
        </w:rPr>
        <w:t>veidā komersantiem, biedrībām, nodibinājumiem un fiziskām personām</w:t>
      </w:r>
      <w:r w:rsidR="00EB5757" w:rsidRPr="00D613A6">
        <w:rPr>
          <w:color w:val="17365D"/>
        </w:rPr>
        <w:t>.</w:t>
      </w:r>
    </w:p>
    <w:p w14:paraId="64C8D051" w14:textId="0A80F5AC" w:rsidR="000B2592" w:rsidRPr="00D613A6" w:rsidRDefault="000B2592" w:rsidP="00D665EF">
      <w:pPr>
        <w:pStyle w:val="Bullets"/>
        <w:numPr>
          <w:ilvl w:val="0"/>
          <w:numId w:val="0"/>
        </w:numPr>
        <w:ind w:firstLine="567"/>
        <w:rPr>
          <w:color w:val="17365D"/>
        </w:rPr>
      </w:pPr>
      <w:r w:rsidRPr="00D613A6">
        <w:rPr>
          <w:noProof w:val="0"/>
          <w:color w:val="17365D"/>
        </w:rPr>
        <w:t>Ziedojumos un dāvinājumos saņemtie līdzekļi ir mazāki par veiktiem izdevumiem, kas veidoja fi</w:t>
      </w:r>
      <w:r w:rsidR="004E6928" w:rsidRPr="00D613A6">
        <w:rPr>
          <w:noProof w:val="0"/>
          <w:color w:val="17365D"/>
        </w:rPr>
        <w:t>nansiālās bilances deficītu 2024</w:t>
      </w:r>
      <w:r w:rsidRPr="00D613A6">
        <w:rPr>
          <w:noProof w:val="0"/>
          <w:color w:val="17365D"/>
        </w:rPr>
        <w:t>. gadā 0,</w:t>
      </w:r>
      <w:r w:rsidR="00497283" w:rsidRPr="00D613A6">
        <w:rPr>
          <w:noProof w:val="0"/>
          <w:color w:val="17365D"/>
        </w:rPr>
        <w:t>2</w:t>
      </w:r>
      <w:r w:rsidRPr="00D613A6">
        <w:rPr>
          <w:noProof w:val="0"/>
          <w:color w:val="17365D"/>
        </w:rPr>
        <w:t xml:space="preserve"> milj. </w:t>
      </w:r>
      <w:r w:rsidRPr="00D613A6">
        <w:rPr>
          <w:i/>
          <w:noProof w:val="0"/>
          <w:color w:val="17365D"/>
        </w:rPr>
        <w:t>euro</w:t>
      </w:r>
      <w:r w:rsidR="00497283" w:rsidRPr="00D613A6">
        <w:rPr>
          <w:noProof w:val="0"/>
          <w:color w:val="17365D"/>
        </w:rPr>
        <w:t>, arī 2023</w:t>
      </w:r>
      <w:r w:rsidRPr="00D613A6">
        <w:rPr>
          <w:noProof w:val="0"/>
          <w:color w:val="17365D"/>
        </w:rPr>
        <w:t xml:space="preserve">. gadā </w:t>
      </w:r>
      <w:r w:rsidR="00497283" w:rsidRPr="00D613A6">
        <w:rPr>
          <w:noProof w:val="0"/>
          <w:color w:val="17365D"/>
        </w:rPr>
        <w:t xml:space="preserve">bija </w:t>
      </w:r>
      <w:r w:rsidRPr="00D613A6">
        <w:rPr>
          <w:noProof w:val="0"/>
          <w:color w:val="17365D"/>
        </w:rPr>
        <w:t xml:space="preserve">finansiālās bilances </w:t>
      </w:r>
      <w:r w:rsidR="00497283" w:rsidRPr="00D613A6">
        <w:rPr>
          <w:noProof w:val="0"/>
          <w:color w:val="17365D"/>
        </w:rPr>
        <w:t>deficīts 0</w:t>
      </w:r>
      <w:r w:rsidRPr="00D613A6">
        <w:rPr>
          <w:noProof w:val="0"/>
          <w:color w:val="17365D"/>
        </w:rPr>
        <w:t>,</w:t>
      </w:r>
      <w:r w:rsidR="00497283" w:rsidRPr="00D613A6">
        <w:rPr>
          <w:noProof w:val="0"/>
          <w:color w:val="17365D"/>
        </w:rPr>
        <w:t>3</w:t>
      </w:r>
      <w:r w:rsidRPr="00D613A6">
        <w:rPr>
          <w:noProof w:val="0"/>
          <w:color w:val="17365D"/>
        </w:rPr>
        <w:t xml:space="preserve"> milj. </w:t>
      </w:r>
      <w:r w:rsidRPr="00D613A6">
        <w:rPr>
          <w:i/>
          <w:noProof w:val="0"/>
          <w:color w:val="17365D"/>
        </w:rPr>
        <w:t>euro</w:t>
      </w:r>
      <w:r w:rsidRPr="00D613A6">
        <w:rPr>
          <w:noProof w:val="0"/>
          <w:color w:val="17365D"/>
        </w:rPr>
        <w:t xml:space="preserve"> apmērā. Finansiālās bilances izmaiņas, salīdzinot ar iepriek</w:t>
      </w:r>
      <w:r w:rsidR="00497283" w:rsidRPr="00D613A6">
        <w:rPr>
          <w:noProof w:val="0"/>
          <w:color w:val="17365D"/>
        </w:rPr>
        <w:t>šējo gadu, ir samazinājums par 0,1</w:t>
      </w:r>
      <w:r w:rsidRPr="00D613A6">
        <w:rPr>
          <w:noProof w:val="0"/>
          <w:color w:val="17365D"/>
        </w:rPr>
        <w:t xml:space="preserve"> milj. </w:t>
      </w:r>
      <w:r w:rsidRPr="00D613A6">
        <w:rPr>
          <w:i/>
          <w:noProof w:val="0"/>
          <w:color w:val="17365D"/>
        </w:rPr>
        <w:t>euro.</w:t>
      </w:r>
      <w:r w:rsidR="00D665EF" w:rsidRPr="00D613A6">
        <w:rPr>
          <w:color w:val="17365D"/>
        </w:rPr>
        <w:t xml:space="preserve"> </w:t>
      </w:r>
    </w:p>
    <w:p w14:paraId="76509919" w14:textId="1BACACFD" w:rsidR="00920EE3" w:rsidRPr="00D613A6" w:rsidRDefault="00872488" w:rsidP="004E28A8">
      <w:pPr>
        <w:spacing w:before="240" w:after="0"/>
        <w:ind w:firstLine="0"/>
        <w:jc w:val="right"/>
        <w:rPr>
          <w:rFonts w:eastAsia="Arial Unicode MS"/>
          <w:i/>
          <w:color w:val="17365D"/>
          <w:sz w:val="20"/>
        </w:rPr>
      </w:pPr>
      <w:r w:rsidRPr="00D613A6">
        <w:rPr>
          <w:rFonts w:eastAsia="Arial Unicode MS"/>
          <w:i/>
          <w:color w:val="17365D"/>
          <w:sz w:val="20"/>
        </w:rPr>
        <w:t>6.</w:t>
      </w:r>
      <w:r w:rsidR="00C551CC" w:rsidRPr="00D613A6">
        <w:rPr>
          <w:rFonts w:eastAsia="Arial Unicode MS"/>
          <w:i/>
          <w:color w:val="17365D"/>
          <w:sz w:val="20"/>
        </w:rPr>
        <w:t>9</w:t>
      </w:r>
      <w:r w:rsidR="00920EE3" w:rsidRPr="00D613A6">
        <w:rPr>
          <w:rFonts w:eastAsia="Arial Unicode MS"/>
          <w:i/>
          <w:color w:val="17365D"/>
          <w:sz w:val="20"/>
        </w:rPr>
        <w:t xml:space="preserve">. tabula. </w:t>
      </w:r>
      <w:r w:rsidR="00E138F0" w:rsidRPr="00D613A6">
        <w:rPr>
          <w:rFonts w:eastAsia="Arial Unicode MS"/>
          <w:i/>
          <w:color w:val="17365D"/>
          <w:sz w:val="20"/>
        </w:rPr>
        <w:t>Z</w:t>
      </w:r>
      <w:r w:rsidR="00920EE3" w:rsidRPr="00D613A6">
        <w:rPr>
          <w:bCs/>
          <w:i/>
          <w:color w:val="17365D"/>
          <w:sz w:val="20"/>
          <w:szCs w:val="20"/>
        </w:rPr>
        <w:t>iedojum</w:t>
      </w:r>
      <w:r w:rsidR="00E138F0" w:rsidRPr="00D613A6">
        <w:rPr>
          <w:bCs/>
          <w:i/>
          <w:color w:val="17365D"/>
          <w:sz w:val="20"/>
          <w:szCs w:val="20"/>
        </w:rPr>
        <w:t>u</w:t>
      </w:r>
      <w:r w:rsidR="00920EE3" w:rsidRPr="00D613A6">
        <w:rPr>
          <w:bCs/>
          <w:i/>
          <w:color w:val="17365D"/>
          <w:sz w:val="20"/>
          <w:szCs w:val="20"/>
        </w:rPr>
        <w:t xml:space="preserve"> un dāvinājum</w:t>
      </w:r>
      <w:r w:rsidR="00E138F0" w:rsidRPr="00D613A6">
        <w:rPr>
          <w:bCs/>
          <w:i/>
          <w:color w:val="17365D"/>
          <w:sz w:val="20"/>
          <w:szCs w:val="20"/>
        </w:rPr>
        <w:t xml:space="preserve">u izlietojuma izmaiņas </w:t>
      </w:r>
      <w:r w:rsidR="00920EE3" w:rsidRPr="00D613A6">
        <w:rPr>
          <w:bCs/>
          <w:i/>
          <w:color w:val="17365D"/>
          <w:sz w:val="20"/>
          <w:szCs w:val="20"/>
        </w:rPr>
        <w:t>(</w:t>
      </w:r>
      <w:r w:rsidR="00920EE3" w:rsidRPr="00D613A6">
        <w:rPr>
          <w:i/>
          <w:color w:val="17365D"/>
          <w:sz w:val="20"/>
        </w:rPr>
        <w:t>euro)</w:t>
      </w:r>
    </w:p>
    <w:tbl>
      <w:tblPr>
        <w:tblStyle w:val="TableGrid"/>
        <w:tblW w:w="9385" w:type="dxa"/>
        <w:tblInd w:w="-5" w:type="dxa"/>
        <w:tblLayout w:type="fixed"/>
        <w:tblLook w:val="04A0" w:firstRow="1" w:lastRow="0" w:firstColumn="1" w:lastColumn="0" w:noHBand="0" w:noVBand="1"/>
      </w:tblPr>
      <w:tblGrid>
        <w:gridCol w:w="889"/>
        <w:gridCol w:w="2581"/>
        <w:gridCol w:w="1478"/>
        <w:gridCol w:w="1478"/>
        <w:gridCol w:w="1629"/>
        <w:gridCol w:w="1330"/>
      </w:tblGrid>
      <w:tr w:rsidR="00D613A6" w:rsidRPr="00D613A6" w14:paraId="754E5233" w14:textId="77777777" w:rsidTr="00E947C6">
        <w:trPr>
          <w:trHeight w:val="284"/>
        </w:trPr>
        <w:tc>
          <w:tcPr>
            <w:tcW w:w="889" w:type="dxa"/>
            <w:vMerge w:val="restart"/>
            <w:tcBorders>
              <w:top w:val="nil"/>
              <w:left w:val="nil"/>
              <w:bottom w:val="single" w:sz="4" w:space="0" w:color="17365D"/>
              <w:right w:val="nil"/>
            </w:tcBorders>
            <w:shd w:val="clear" w:color="auto" w:fill="B9CDE5"/>
            <w:vAlign w:val="center"/>
          </w:tcPr>
          <w:p w14:paraId="0D0E3FE8" w14:textId="0ECE6FE8"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81" w:type="dxa"/>
            <w:vMerge w:val="restart"/>
            <w:tcBorders>
              <w:top w:val="nil"/>
              <w:left w:val="nil"/>
              <w:bottom w:val="single" w:sz="4" w:space="0" w:color="17365D"/>
              <w:right w:val="nil"/>
            </w:tcBorders>
            <w:shd w:val="clear" w:color="auto" w:fill="B9CDE5"/>
            <w:vAlign w:val="center"/>
          </w:tcPr>
          <w:p w14:paraId="76B66971"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Posteņa nosaukums</w:t>
            </w:r>
          </w:p>
        </w:tc>
        <w:tc>
          <w:tcPr>
            <w:tcW w:w="2956" w:type="dxa"/>
            <w:gridSpan w:val="2"/>
            <w:tcBorders>
              <w:top w:val="nil"/>
              <w:left w:val="nil"/>
              <w:bottom w:val="single" w:sz="4" w:space="0" w:color="17365D"/>
              <w:right w:val="nil"/>
            </w:tcBorders>
            <w:shd w:val="clear" w:color="auto" w:fill="B9CDE5"/>
            <w:vAlign w:val="center"/>
          </w:tcPr>
          <w:p w14:paraId="1AAA1BEB"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Budžeta izpilde</w:t>
            </w:r>
          </w:p>
        </w:tc>
        <w:tc>
          <w:tcPr>
            <w:tcW w:w="1629" w:type="dxa"/>
            <w:vMerge w:val="restart"/>
            <w:tcBorders>
              <w:top w:val="nil"/>
              <w:left w:val="nil"/>
              <w:bottom w:val="single" w:sz="4" w:space="0" w:color="17365D"/>
              <w:right w:val="nil"/>
            </w:tcBorders>
            <w:shd w:val="clear" w:color="auto" w:fill="B9CDE5"/>
            <w:vAlign w:val="center"/>
          </w:tcPr>
          <w:p w14:paraId="71A7A290" w14:textId="340FCC79"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0AFDB8E0" w14:textId="72B2FADB"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30" w:type="dxa"/>
            <w:vMerge w:val="restart"/>
            <w:tcBorders>
              <w:top w:val="nil"/>
              <w:left w:val="nil"/>
              <w:bottom w:val="single" w:sz="4" w:space="0" w:color="17365D"/>
              <w:right w:val="nil"/>
            </w:tcBorders>
            <w:shd w:val="clear" w:color="auto" w:fill="B9CDE5"/>
            <w:vAlign w:val="center"/>
          </w:tcPr>
          <w:p w14:paraId="42AA2D2F"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Procentuālās izmaiņas</w:t>
            </w:r>
          </w:p>
          <w:p w14:paraId="15944CAD" w14:textId="72BF51F4" w:rsidR="00AE783D" w:rsidRPr="00D613A6" w:rsidRDefault="00AE783D"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36C8A5DF" w14:textId="77777777" w:rsidTr="00856306">
        <w:trPr>
          <w:trHeight w:val="284"/>
        </w:trPr>
        <w:tc>
          <w:tcPr>
            <w:tcW w:w="889" w:type="dxa"/>
            <w:vMerge/>
            <w:tcBorders>
              <w:top w:val="single" w:sz="4" w:space="0" w:color="17365D"/>
              <w:left w:val="nil"/>
              <w:bottom w:val="nil"/>
              <w:right w:val="nil"/>
            </w:tcBorders>
          </w:tcPr>
          <w:p w14:paraId="58B4680F" w14:textId="77777777" w:rsidR="00AE783D" w:rsidRPr="00D613A6" w:rsidRDefault="00AE783D" w:rsidP="00E138F0">
            <w:pPr>
              <w:pStyle w:val="Pamatteksts1"/>
              <w:spacing w:after="0"/>
              <w:ind w:firstLine="0"/>
              <w:rPr>
                <w:color w:val="17365D"/>
                <w:sz w:val="20"/>
                <w:szCs w:val="20"/>
              </w:rPr>
            </w:pPr>
          </w:p>
        </w:tc>
        <w:tc>
          <w:tcPr>
            <w:tcW w:w="2581" w:type="dxa"/>
            <w:vMerge/>
            <w:tcBorders>
              <w:top w:val="single" w:sz="4" w:space="0" w:color="17365D"/>
              <w:left w:val="nil"/>
              <w:bottom w:val="nil"/>
              <w:right w:val="nil"/>
            </w:tcBorders>
          </w:tcPr>
          <w:p w14:paraId="1C08F945" w14:textId="77777777" w:rsidR="00AE783D" w:rsidRPr="00D613A6" w:rsidRDefault="00AE783D" w:rsidP="00E138F0">
            <w:pPr>
              <w:pStyle w:val="Pamatteksts1"/>
              <w:spacing w:after="0"/>
              <w:ind w:firstLine="0"/>
              <w:rPr>
                <w:color w:val="17365D"/>
                <w:sz w:val="20"/>
                <w:szCs w:val="20"/>
              </w:rPr>
            </w:pPr>
          </w:p>
        </w:tc>
        <w:tc>
          <w:tcPr>
            <w:tcW w:w="1478" w:type="dxa"/>
            <w:tcBorders>
              <w:top w:val="single" w:sz="4" w:space="0" w:color="17365D"/>
              <w:left w:val="nil"/>
              <w:bottom w:val="nil"/>
              <w:right w:val="nil"/>
            </w:tcBorders>
            <w:shd w:val="clear" w:color="auto" w:fill="B9CDE5"/>
            <w:vAlign w:val="center"/>
          </w:tcPr>
          <w:p w14:paraId="19BDB2EF" w14:textId="77777777" w:rsidR="00AE783D" w:rsidRPr="00D613A6" w:rsidRDefault="00AE783D" w:rsidP="009C3BBA">
            <w:pPr>
              <w:spacing w:before="60" w:after="60"/>
              <w:ind w:firstLine="0"/>
              <w:jc w:val="center"/>
              <w:rPr>
                <w:b/>
                <w:noProof/>
                <w:color w:val="17365D"/>
                <w:sz w:val="20"/>
                <w:szCs w:val="20"/>
              </w:rPr>
            </w:pPr>
            <w:r w:rsidRPr="00D613A6">
              <w:rPr>
                <w:b/>
                <w:noProof/>
                <w:color w:val="17365D"/>
                <w:sz w:val="20"/>
                <w:szCs w:val="20"/>
              </w:rPr>
              <w:t>pārskata periodā</w:t>
            </w:r>
          </w:p>
        </w:tc>
        <w:tc>
          <w:tcPr>
            <w:tcW w:w="1478" w:type="dxa"/>
            <w:tcBorders>
              <w:top w:val="single" w:sz="4" w:space="0" w:color="17365D"/>
              <w:left w:val="nil"/>
              <w:bottom w:val="nil"/>
              <w:right w:val="nil"/>
            </w:tcBorders>
            <w:shd w:val="clear" w:color="auto" w:fill="B9CDE5"/>
            <w:vAlign w:val="center"/>
          </w:tcPr>
          <w:p w14:paraId="1D863831" w14:textId="77777777" w:rsidR="00AE783D" w:rsidRPr="00D613A6" w:rsidRDefault="00AE783D" w:rsidP="009C3BBA">
            <w:pPr>
              <w:spacing w:before="60" w:after="60"/>
              <w:ind w:firstLine="0"/>
              <w:jc w:val="center"/>
              <w:rPr>
                <w:b/>
                <w:noProof/>
                <w:color w:val="17365D"/>
                <w:sz w:val="20"/>
                <w:szCs w:val="20"/>
              </w:rPr>
            </w:pPr>
            <w:r w:rsidRPr="00D613A6">
              <w:rPr>
                <w:b/>
                <w:color w:val="17365D"/>
                <w:sz w:val="20"/>
                <w:szCs w:val="20"/>
              </w:rPr>
              <w:t>iepriekšējā pārskata periodā</w:t>
            </w:r>
          </w:p>
        </w:tc>
        <w:tc>
          <w:tcPr>
            <w:tcW w:w="1629" w:type="dxa"/>
            <w:vMerge/>
            <w:tcBorders>
              <w:top w:val="single" w:sz="4" w:space="0" w:color="17365D"/>
              <w:left w:val="nil"/>
              <w:bottom w:val="nil"/>
              <w:right w:val="nil"/>
            </w:tcBorders>
          </w:tcPr>
          <w:p w14:paraId="41268093" w14:textId="77777777" w:rsidR="00AE783D" w:rsidRPr="00D613A6" w:rsidRDefault="00AE783D" w:rsidP="004E28A8">
            <w:pPr>
              <w:pStyle w:val="Pamatteksts1"/>
              <w:spacing w:before="60" w:after="60"/>
              <w:ind w:left="-107" w:right="-105" w:firstLine="0"/>
              <w:jc w:val="center"/>
              <w:rPr>
                <w:b/>
                <w:color w:val="17365D"/>
                <w:sz w:val="20"/>
                <w:szCs w:val="20"/>
              </w:rPr>
            </w:pPr>
          </w:p>
        </w:tc>
        <w:tc>
          <w:tcPr>
            <w:tcW w:w="1330" w:type="dxa"/>
            <w:vMerge/>
            <w:tcBorders>
              <w:top w:val="single" w:sz="4" w:space="0" w:color="17365D"/>
              <w:left w:val="nil"/>
              <w:bottom w:val="nil"/>
              <w:right w:val="nil"/>
            </w:tcBorders>
          </w:tcPr>
          <w:p w14:paraId="7D1F59E5" w14:textId="77777777" w:rsidR="00AE783D" w:rsidRPr="00D613A6" w:rsidRDefault="00AE783D" w:rsidP="00E138F0">
            <w:pPr>
              <w:spacing w:after="0"/>
              <w:ind w:firstLine="0"/>
              <w:rPr>
                <w:color w:val="17365D"/>
                <w:sz w:val="20"/>
                <w:szCs w:val="20"/>
              </w:rPr>
            </w:pPr>
          </w:p>
        </w:tc>
      </w:tr>
      <w:tr w:rsidR="00D613A6" w:rsidRPr="00D613A6" w14:paraId="04F7F4AB" w14:textId="77777777" w:rsidTr="003B6FC2">
        <w:trPr>
          <w:trHeight w:val="284"/>
        </w:trPr>
        <w:tc>
          <w:tcPr>
            <w:tcW w:w="889" w:type="dxa"/>
            <w:tcBorders>
              <w:top w:val="nil"/>
              <w:left w:val="nil"/>
              <w:bottom w:val="single" w:sz="4" w:space="0" w:color="17365D"/>
              <w:right w:val="nil"/>
            </w:tcBorders>
            <w:vAlign w:val="center"/>
          </w:tcPr>
          <w:p w14:paraId="4A902345" w14:textId="77777777"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A</w:t>
            </w:r>
          </w:p>
        </w:tc>
        <w:tc>
          <w:tcPr>
            <w:tcW w:w="2581" w:type="dxa"/>
            <w:tcBorders>
              <w:top w:val="nil"/>
              <w:left w:val="nil"/>
              <w:bottom w:val="single" w:sz="4" w:space="0" w:color="17365D"/>
              <w:right w:val="nil"/>
            </w:tcBorders>
            <w:vAlign w:val="center"/>
          </w:tcPr>
          <w:p w14:paraId="16A5DDF1" w14:textId="77777777"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B</w:t>
            </w:r>
          </w:p>
        </w:tc>
        <w:tc>
          <w:tcPr>
            <w:tcW w:w="1478" w:type="dxa"/>
            <w:tcBorders>
              <w:top w:val="nil"/>
              <w:left w:val="nil"/>
              <w:bottom w:val="single" w:sz="4" w:space="0" w:color="17365D"/>
              <w:right w:val="nil"/>
            </w:tcBorders>
            <w:vAlign w:val="center"/>
          </w:tcPr>
          <w:p w14:paraId="322A582A" w14:textId="0D769976"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1</w:t>
            </w:r>
          </w:p>
        </w:tc>
        <w:tc>
          <w:tcPr>
            <w:tcW w:w="1478" w:type="dxa"/>
            <w:tcBorders>
              <w:top w:val="nil"/>
              <w:left w:val="nil"/>
              <w:bottom w:val="single" w:sz="4" w:space="0" w:color="17365D"/>
              <w:right w:val="nil"/>
            </w:tcBorders>
            <w:vAlign w:val="center"/>
          </w:tcPr>
          <w:p w14:paraId="1D851708" w14:textId="7577A25E"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2</w:t>
            </w:r>
          </w:p>
        </w:tc>
        <w:tc>
          <w:tcPr>
            <w:tcW w:w="1629" w:type="dxa"/>
            <w:tcBorders>
              <w:top w:val="nil"/>
              <w:left w:val="nil"/>
              <w:bottom w:val="single" w:sz="4" w:space="0" w:color="17365D"/>
              <w:right w:val="nil"/>
            </w:tcBorders>
            <w:vAlign w:val="center"/>
          </w:tcPr>
          <w:p w14:paraId="15D1443B" w14:textId="1B62AE45"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30" w:type="dxa"/>
            <w:tcBorders>
              <w:top w:val="nil"/>
              <w:left w:val="nil"/>
              <w:bottom w:val="single" w:sz="4" w:space="0" w:color="17365D"/>
              <w:right w:val="nil"/>
            </w:tcBorders>
            <w:vAlign w:val="center"/>
          </w:tcPr>
          <w:p w14:paraId="1833595D" w14:textId="796BE372"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A270706" w14:textId="77777777" w:rsidTr="00856306">
        <w:trPr>
          <w:trHeight w:val="284"/>
        </w:trPr>
        <w:tc>
          <w:tcPr>
            <w:tcW w:w="889" w:type="dxa"/>
            <w:tcBorders>
              <w:top w:val="single" w:sz="4" w:space="0" w:color="17365D"/>
              <w:left w:val="nil"/>
              <w:bottom w:val="single" w:sz="4" w:space="0" w:color="17365D"/>
              <w:right w:val="nil"/>
            </w:tcBorders>
            <w:vAlign w:val="center"/>
          </w:tcPr>
          <w:p w14:paraId="2A9915BB" w14:textId="4A07C4C6" w:rsidR="00EF287D" w:rsidRPr="00D613A6" w:rsidRDefault="00EF287D" w:rsidP="00EF287D">
            <w:pPr>
              <w:pStyle w:val="Pamatteksts1"/>
              <w:spacing w:before="40" w:after="40"/>
              <w:ind w:firstLine="0"/>
              <w:jc w:val="left"/>
              <w:rPr>
                <w:b/>
                <w:color w:val="17365D"/>
                <w:sz w:val="20"/>
                <w:szCs w:val="20"/>
              </w:rPr>
            </w:pPr>
            <w:r w:rsidRPr="00D613A6">
              <w:rPr>
                <w:b/>
                <w:color w:val="17365D"/>
                <w:sz w:val="20"/>
                <w:szCs w:val="20"/>
              </w:rPr>
              <w:t>II.</w:t>
            </w:r>
          </w:p>
        </w:tc>
        <w:tc>
          <w:tcPr>
            <w:tcW w:w="2581" w:type="dxa"/>
            <w:tcBorders>
              <w:top w:val="single" w:sz="4" w:space="0" w:color="17365D"/>
              <w:left w:val="nil"/>
              <w:bottom w:val="single" w:sz="4" w:space="0" w:color="17365D"/>
              <w:right w:val="nil"/>
            </w:tcBorders>
            <w:shd w:val="clear" w:color="000000" w:fill="FFFFFF"/>
            <w:vAlign w:val="center"/>
          </w:tcPr>
          <w:p w14:paraId="4DE3632D" w14:textId="77777777" w:rsidR="00EF287D" w:rsidRPr="00D613A6" w:rsidRDefault="00EF287D" w:rsidP="00EF287D">
            <w:pPr>
              <w:pStyle w:val="Pamatteksts1"/>
              <w:spacing w:before="40" w:after="40"/>
              <w:ind w:firstLine="0"/>
              <w:jc w:val="left"/>
              <w:rPr>
                <w:b/>
                <w:color w:val="17365D"/>
                <w:sz w:val="20"/>
                <w:szCs w:val="20"/>
              </w:rPr>
            </w:pPr>
            <w:r w:rsidRPr="00D613A6">
              <w:rPr>
                <w:b/>
                <w:bCs/>
                <w:color w:val="17365D"/>
                <w:sz w:val="20"/>
                <w:szCs w:val="20"/>
              </w:rPr>
              <w:t>IZDEVUMI</w:t>
            </w:r>
          </w:p>
        </w:tc>
        <w:tc>
          <w:tcPr>
            <w:tcW w:w="1478" w:type="dxa"/>
            <w:tcBorders>
              <w:top w:val="single" w:sz="4" w:space="0" w:color="17365D"/>
              <w:left w:val="nil"/>
              <w:bottom w:val="single" w:sz="4" w:space="0" w:color="17365D"/>
              <w:right w:val="nil"/>
            </w:tcBorders>
            <w:shd w:val="clear" w:color="000000" w:fill="FFFFFF"/>
            <w:vAlign w:val="center"/>
          </w:tcPr>
          <w:p w14:paraId="6CABAF5F" w14:textId="39C03A6F"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1 246 029</w:t>
            </w:r>
          </w:p>
        </w:tc>
        <w:tc>
          <w:tcPr>
            <w:tcW w:w="1478" w:type="dxa"/>
            <w:tcBorders>
              <w:top w:val="single" w:sz="4" w:space="0" w:color="17365D"/>
              <w:left w:val="nil"/>
              <w:bottom w:val="single" w:sz="4" w:space="0" w:color="17365D"/>
              <w:right w:val="nil"/>
            </w:tcBorders>
            <w:shd w:val="clear" w:color="auto" w:fill="auto"/>
            <w:vAlign w:val="center"/>
          </w:tcPr>
          <w:p w14:paraId="1173CB99" w14:textId="724B6527"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1 172 738</w:t>
            </w:r>
          </w:p>
        </w:tc>
        <w:tc>
          <w:tcPr>
            <w:tcW w:w="1629" w:type="dxa"/>
            <w:tcBorders>
              <w:top w:val="single" w:sz="4" w:space="0" w:color="17365D"/>
              <w:left w:val="nil"/>
              <w:bottom w:val="single" w:sz="4" w:space="0" w:color="17365D"/>
              <w:right w:val="nil"/>
            </w:tcBorders>
            <w:shd w:val="clear" w:color="auto" w:fill="auto"/>
            <w:vAlign w:val="center"/>
          </w:tcPr>
          <w:p w14:paraId="22565844" w14:textId="3B5F119F" w:rsidR="00EF287D" w:rsidRPr="00D613A6" w:rsidRDefault="00EF287D" w:rsidP="00EF287D">
            <w:pPr>
              <w:pStyle w:val="Pamatteksts1"/>
              <w:spacing w:before="60" w:after="60"/>
              <w:ind w:left="-107" w:right="-105" w:firstLine="0"/>
              <w:jc w:val="right"/>
              <w:rPr>
                <w:b/>
                <w:color w:val="17365D"/>
                <w:sz w:val="20"/>
                <w:szCs w:val="20"/>
              </w:rPr>
            </w:pPr>
            <w:r w:rsidRPr="00D613A6">
              <w:rPr>
                <w:b/>
                <w:color w:val="17365D"/>
                <w:sz w:val="20"/>
                <w:szCs w:val="20"/>
              </w:rPr>
              <w:t>73 291</w:t>
            </w:r>
          </w:p>
        </w:tc>
        <w:tc>
          <w:tcPr>
            <w:tcW w:w="1330" w:type="dxa"/>
            <w:tcBorders>
              <w:top w:val="single" w:sz="4" w:space="0" w:color="17365D"/>
              <w:left w:val="nil"/>
              <w:bottom w:val="single" w:sz="4" w:space="0" w:color="17365D"/>
              <w:right w:val="nil"/>
            </w:tcBorders>
            <w:shd w:val="clear" w:color="auto" w:fill="auto"/>
            <w:vAlign w:val="center"/>
          </w:tcPr>
          <w:p w14:paraId="6584FE92" w14:textId="4AD9C652"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6.25</w:t>
            </w:r>
          </w:p>
        </w:tc>
      </w:tr>
      <w:tr w:rsidR="00D613A6" w:rsidRPr="00D613A6" w14:paraId="2782BCA1" w14:textId="77777777" w:rsidTr="00856306">
        <w:trPr>
          <w:trHeight w:val="284"/>
        </w:trPr>
        <w:tc>
          <w:tcPr>
            <w:tcW w:w="889" w:type="dxa"/>
            <w:tcBorders>
              <w:top w:val="single" w:sz="4" w:space="0" w:color="17365D"/>
              <w:left w:val="nil"/>
              <w:bottom w:val="single" w:sz="4" w:space="0" w:color="17365D"/>
              <w:right w:val="nil"/>
            </w:tcBorders>
            <w:vAlign w:val="center"/>
          </w:tcPr>
          <w:p w14:paraId="29874592" w14:textId="394B856E" w:rsidR="00EF287D" w:rsidRPr="00D613A6" w:rsidRDefault="00EF287D" w:rsidP="00EF287D">
            <w:pPr>
              <w:spacing w:before="40" w:after="40"/>
              <w:ind w:firstLine="0"/>
              <w:jc w:val="left"/>
              <w:rPr>
                <w:b/>
                <w:bCs/>
                <w:color w:val="17365D"/>
                <w:sz w:val="20"/>
                <w:szCs w:val="20"/>
              </w:rPr>
            </w:pPr>
            <w:r w:rsidRPr="00D613A6">
              <w:rPr>
                <w:b/>
                <w:bCs/>
                <w:color w:val="17365D"/>
                <w:sz w:val="20"/>
                <w:szCs w:val="20"/>
              </w:rPr>
              <w:t>1.0.</w:t>
            </w:r>
          </w:p>
        </w:tc>
        <w:tc>
          <w:tcPr>
            <w:tcW w:w="2581" w:type="dxa"/>
            <w:tcBorders>
              <w:top w:val="single" w:sz="4" w:space="0" w:color="17365D"/>
              <w:left w:val="nil"/>
              <w:bottom w:val="single" w:sz="4" w:space="0" w:color="17365D"/>
              <w:right w:val="nil"/>
            </w:tcBorders>
            <w:shd w:val="clear" w:color="000000" w:fill="FFFFFF"/>
            <w:vAlign w:val="center"/>
          </w:tcPr>
          <w:p w14:paraId="4584B89F" w14:textId="77777777" w:rsidR="00EF287D" w:rsidRPr="00D613A6" w:rsidRDefault="00EF287D" w:rsidP="00EF287D">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78" w:type="dxa"/>
            <w:tcBorders>
              <w:top w:val="single" w:sz="4" w:space="0" w:color="17365D"/>
              <w:left w:val="nil"/>
              <w:bottom w:val="single" w:sz="4" w:space="0" w:color="17365D"/>
              <w:right w:val="nil"/>
            </w:tcBorders>
            <w:shd w:val="clear" w:color="000000" w:fill="FFFFFF"/>
            <w:vAlign w:val="center"/>
          </w:tcPr>
          <w:p w14:paraId="37E37AE2" w14:textId="2E917671"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1 136 629</w:t>
            </w:r>
          </w:p>
        </w:tc>
        <w:tc>
          <w:tcPr>
            <w:tcW w:w="1478" w:type="dxa"/>
            <w:tcBorders>
              <w:top w:val="single" w:sz="4" w:space="0" w:color="17365D"/>
              <w:left w:val="nil"/>
              <w:bottom w:val="single" w:sz="4" w:space="0" w:color="17365D"/>
              <w:right w:val="nil"/>
            </w:tcBorders>
            <w:shd w:val="clear" w:color="auto" w:fill="auto"/>
            <w:vAlign w:val="center"/>
          </w:tcPr>
          <w:p w14:paraId="2CEE128F" w14:textId="7EC3F376"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1 126 970</w:t>
            </w:r>
          </w:p>
        </w:tc>
        <w:tc>
          <w:tcPr>
            <w:tcW w:w="1629" w:type="dxa"/>
            <w:tcBorders>
              <w:top w:val="single" w:sz="4" w:space="0" w:color="17365D"/>
              <w:left w:val="nil"/>
              <w:bottom w:val="single" w:sz="4" w:space="0" w:color="17365D"/>
              <w:right w:val="nil"/>
            </w:tcBorders>
            <w:shd w:val="clear" w:color="auto" w:fill="auto"/>
            <w:vAlign w:val="center"/>
          </w:tcPr>
          <w:p w14:paraId="444AC55A" w14:textId="141A6C25" w:rsidR="00EF287D" w:rsidRPr="00D613A6" w:rsidRDefault="00EF287D" w:rsidP="00EF287D">
            <w:pPr>
              <w:pStyle w:val="Pamatteksts1"/>
              <w:spacing w:before="60" w:after="60"/>
              <w:ind w:left="-107" w:right="-105" w:firstLine="0"/>
              <w:jc w:val="right"/>
              <w:rPr>
                <w:b/>
                <w:color w:val="17365D"/>
                <w:sz w:val="20"/>
                <w:szCs w:val="20"/>
              </w:rPr>
            </w:pPr>
            <w:r w:rsidRPr="00D613A6">
              <w:rPr>
                <w:b/>
                <w:color w:val="17365D"/>
                <w:sz w:val="20"/>
                <w:szCs w:val="20"/>
              </w:rPr>
              <w:t>9 659</w:t>
            </w:r>
          </w:p>
        </w:tc>
        <w:tc>
          <w:tcPr>
            <w:tcW w:w="1330" w:type="dxa"/>
            <w:tcBorders>
              <w:top w:val="single" w:sz="4" w:space="0" w:color="17365D"/>
              <w:left w:val="nil"/>
              <w:bottom w:val="single" w:sz="4" w:space="0" w:color="17365D"/>
              <w:right w:val="nil"/>
            </w:tcBorders>
            <w:shd w:val="clear" w:color="000000" w:fill="FFFFFF"/>
            <w:vAlign w:val="center"/>
          </w:tcPr>
          <w:p w14:paraId="0381D987" w14:textId="31465945"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6.25</w:t>
            </w:r>
          </w:p>
        </w:tc>
      </w:tr>
      <w:tr w:rsidR="00D613A6" w:rsidRPr="00D613A6" w14:paraId="6829203F" w14:textId="77777777" w:rsidTr="00856306">
        <w:trPr>
          <w:trHeight w:val="284"/>
        </w:trPr>
        <w:tc>
          <w:tcPr>
            <w:tcW w:w="889" w:type="dxa"/>
            <w:tcBorders>
              <w:top w:val="single" w:sz="4" w:space="0" w:color="17365D"/>
              <w:left w:val="nil"/>
              <w:bottom w:val="single" w:sz="4" w:space="0" w:color="17365D"/>
              <w:right w:val="nil"/>
            </w:tcBorders>
            <w:vAlign w:val="center"/>
          </w:tcPr>
          <w:p w14:paraId="5D8B22E2" w14:textId="72359075"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1.1.</w:t>
            </w:r>
          </w:p>
        </w:tc>
        <w:tc>
          <w:tcPr>
            <w:tcW w:w="2581" w:type="dxa"/>
            <w:tcBorders>
              <w:top w:val="single" w:sz="4" w:space="0" w:color="17365D"/>
              <w:left w:val="nil"/>
              <w:bottom w:val="single" w:sz="4" w:space="0" w:color="17365D"/>
              <w:right w:val="nil"/>
            </w:tcBorders>
            <w:shd w:val="clear" w:color="000000" w:fill="FFFFFF"/>
            <w:vAlign w:val="center"/>
          </w:tcPr>
          <w:p w14:paraId="3DC6335C" w14:textId="77777777" w:rsidR="00EF287D" w:rsidRPr="00D613A6" w:rsidRDefault="00EF287D" w:rsidP="00EF287D">
            <w:pPr>
              <w:pStyle w:val="Pamatteksts1"/>
              <w:spacing w:before="40" w:after="40"/>
              <w:ind w:firstLine="0"/>
              <w:jc w:val="left"/>
              <w:rPr>
                <w:color w:val="17365D"/>
                <w:sz w:val="20"/>
                <w:szCs w:val="20"/>
              </w:rPr>
            </w:pPr>
            <w:r w:rsidRPr="00D613A6">
              <w:rPr>
                <w:bCs/>
                <w:color w:val="17365D"/>
                <w:sz w:val="20"/>
                <w:szCs w:val="20"/>
              </w:rPr>
              <w:t>Kārtējie izdevumi</w:t>
            </w:r>
          </w:p>
        </w:tc>
        <w:tc>
          <w:tcPr>
            <w:tcW w:w="1478" w:type="dxa"/>
            <w:tcBorders>
              <w:top w:val="single" w:sz="4" w:space="0" w:color="17365D"/>
              <w:left w:val="nil"/>
              <w:bottom w:val="single" w:sz="4" w:space="0" w:color="17365D"/>
              <w:right w:val="nil"/>
            </w:tcBorders>
            <w:shd w:val="clear" w:color="000000" w:fill="FFFFFF"/>
            <w:vAlign w:val="center"/>
          </w:tcPr>
          <w:p w14:paraId="1DA697D1" w14:textId="2276B0E8"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740 241</w:t>
            </w:r>
          </w:p>
        </w:tc>
        <w:tc>
          <w:tcPr>
            <w:tcW w:w="1478" w:type="dxa"/>
            <w:tcBorders>
              <w:top w:val="single" w:sz="4" w:space="0" w:color="17365D"/>
              <w:left w:val="nil"/>
              <w:bottom w:val="single" w:sz="4" w:space="0" w:color="17365D"/>
              <w:right w:val="nil"/>
            </w:tcBorders>
            <w:shd w:val="clear" w:color="auto" w:fill="auto"/>
            <w:vAlign w:val="center"/>
          </w:tcPr>
          <w:p w14:paraId="1B1B01E6" w14:textId="7F53A62E"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888 420</w:t>
            </w:r>
          </w:p>
        </w:tc>
        <w:tc>
          <w:tcPr>
            <w:tcW w:w="1629" w:type="dxa"/>
            <w:tcBorders>
              <w:top w:val="single" w:sz="4" w:space="0" w:color="17365D"/>
              <w:left w:val="nil"/>
              <w:bottom w:val="single" w:sz="4" w:space="0" w:color="17365D"/>
              <w:right w:val="nil"/>
            </w:tcBorders>
            <w:shd w:val="clear" w:color="auto" w:fill="auto"/>
            <w:vAlign w:val="center"/>
          </w:tcPr>
          <w:p w14:paraId="76248747" w14:textId="4BDD823A"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-148 179</w:t>
            </w:r>
          </w:p>
        </w:tc>
        <w:tc>
          <w:tcPr>
            <w:tcW w:w="1330" w:type="dxa"/>
            <w:tcBorders>
              <w:top w:val="single" w:sz="4" w:space="0" w:color="17365D"/>
              <w:left w:val="nil"/>
              <w:bottom w:val="single" w:sz="4" w:space="0" w:color="17365D"/>
              <w:right w:val="nil"/>
            </w:tcBorders>
            <w:shd w:val="clear" w:color="000000" w:fill="FFFFFF"/>
            <w:vAlign w:val="center"/>
          </w:tcPr>
          <w:p w14:paraId="7266ADDE" w14:textId="22D35F01"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-16.68</w:t>
            </w:r>
          </w:p>
        </w:tc>
      </w:tr>
      <w:tr w:rsidR="00D613A6" w:rsidRPr="00D613A6" w14:paraId="3D9FCD22" w14:textId="77777777" w:rsidTr="00856306">
        <w:trPr>
          <w:trHeight w:val="284"/>
        </w:trPr>
        <w:tc>
          <w:tcPr>
            <w:tcW w:w="889" w:type="dxa"/>
            <w:tcBorders>
              <w:top w:val="single" w:sz="4" w:space="0" w:color="17365D"/>
              <w:left w:val="nil"/>
              <w:bottom w:val="single" w:sz="4" w:space="0" w:color="17365D"/>
              <w:right w:val="nil"/>
            </w:tcBorders>
            <w:vAlign w:val="center"/>
          </w:tcPr>
          <w:p w14:paraId="0CC701CF" w14:textId="57A32B79"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1.3.</w:t>
            </w:r>
          </w:p>
        </w:tc>
        <w:tc>
          <w:tcPr>
            <w:tcW w:w="2581" w:type="dxa"/>
            <w:tcBorders>
              <w:top w:val="single" w:sz="4" w:space="0" w:color="17365D"/>
              <w:left w:val="nil"/>
              <w:bottom w:val="single" w:sz="4" w:space="0" w:color="17365D"/>
              <w:right w:val="nil"/>
            </w:tcBorders>
            <w:shd w:val="clear" w:color="000000" w:fill="FFFFFF"/>
            <w:vAlign w:val="center"/>
          </w:tcPr>
          <w:p w14:paraId="499D0B69" w14:textId="2B295F6E" w:rsidR="00EF287D" w:rsidRPr="00D613A6" w:rsidRDefault="00427E2E" w:rsidP="00EF287D">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78" w:type="dxa"/>
            <w:tcBorders>
              <w:top w:val="single" w:sz="4" w:space="0" w:color="17365D"/>
              <w:left w:val="nil"/>
              <w:bottom w:val="single" w:sz="4" w:space="0" w:color="17365D"/>
              <w:right w:val="nil"/>
            </w:tcBorders>
            <w:shd w:val="clear" w:color="000000" w:fill="FFFFFF"/>
            <w:vAlign w:val="center"/>
          </w:tcPr>
          <w:p w14:paraId="34EDE433" w14:textId="37690701"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118 458</w:t>
            </w:r>
          </w:p>
        </w:tc>
        <w:tc>
          <w:tcPr>
            <w:tcW w:w="1478" w:type="dxa"/>
            <w:tcBorders>
              <w:top w:val="single" w:sz="4" w:space="0" w:color="17365D"/>
              <w:left w:val="nil"/>
              <w:bottom w:val="single" w:sz="4" w:space="0" w:color="17365D"/>
              <w:right w:val="nil"/>
            </w:tcBorders>
            <w:shd w:val="clear" w:color="auto" w:fill="auto"/>
            <w:vAlign w:val="center"/>
          </w:tcPr>
          <w:p w14:paraId="25585A63" w14:textId="7A1B25B7"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210 168</w:t>
            </w:r>
          </w:p>
        </w:tc>
        <w:tc>
          <w:tcPr>
            <w:tcW w:w="1629" w:type="dxa"/>
            <w:tcBorders>
              <w:top w:val="single" w:sz="4" w:space="0" w:color="17365D"/>
              <w:left w:val="nil"/>
              <w:bottom w:val="single" w:sz="4" w:space="0" w:color="17365D"/>
              <w:right w:val="nil"/>
            </w:tcBorders>
            <w:shd w:val="clear" w:color="auto" w:fill="auto"/>
            <w:vAlign w:val="center"/>
          </w:tcPr>
          <w:p w14:paraId="499043FB" w14:textId="1FF102B1"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-91 710</w:t>
            </w:r>
          </w:p>
        </w:tc>
        <w:tc>
          <w:tcPr>
            <w:tcW w:w="1330" w:type="dxa"/>
            <w:tcBorders>
              <w:top w:val="single" w:sz="4" w:space="0" w:color="17365D"/>
              <w:left w:val="nil"/>
              <w:bottom w:val="single" w:sz="4" w:space="0" w:color="17365D"/>
              <w:right w:val="nil"/>
            </w:tcBorders>
            <w:shd w:val="clear" w:color="000000" w:fill="FFFFFF"/>
            <w:vAlign w:val="center"/>
          </w:tcPr>
          <w:p w14:paraId="3E8CE0FB" w14:textId="3458622F"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-43.64</w:t>
            </w:r>
          </w:p>
        </w:tc>
      </w:tr>
      <w:tr w:rsidR="00D613A6" w:rsidRPr="00D613A6" w14:paraId="074273DB" w14:textId="77777777" w:rsidTr="00856306">
        <w:trPr>
          <w:trHeight w:val="284"/>
        </w:trPr>
        <w:tc>
          <w:tcPr>
            <w:tcW w:w="889" w:type="dxa"/>
            <w:tcBorders>
              <w:top w:val="single" w:sz="4" w:space="0" w:color="17365D"/>
              <w:left w:val="nil"/>
              <w:bottom w:val="single" w:sz="4" w:space="0" w:color="17365D"/>
              <w:right w:val="nil"/>
            </w:tcBorders>
            <w:vAlign w:val="center"/>
          </w:tcPr>
          <w:p w14:paraId="368D63EC" w14:textId="77777777"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7000</w:t>
            </w:r>
          </w:p>
        </w:tc>
        <w:tc>
          <w:tcPr>
            <w:tcW w:w="2581" w:type="dxa"/>
            <w:tcBorders>
              <w:top w:val="single" w:sz="4" w:space="0" w:color="17365D"/>
              <w:left w:val="nil"/>
              <w:bottom w:val="single" w:sz="4" w:space="0" w:color="17365D"/>
              <w:right w:val="nil"/>
            </w:tcBorders>
            <w:shd w:val="clear" w:color="000000" w:fill="FFFFFF"/>
            <w:vAlign w:val="center"/>
          </w:tcPr>
          <w:p w14:paraId="693F3504" w14:textId="77777777"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resursu maksājumi, starptautiskā sadarbība </w:t>
            </w:r>
          </w:p>
        </w:tc>
        <w:tc>
          <w:tcPr>
            <w:tcW w:w="1478" w:type="dxa"/>
            <w:tcBorders>
              <w:top w:val="single" w:sz="4" w:space="0" w:color="17365D"/>
              <w:left w:val="nil"/>
              <w:bottom w:val="single" w:sz="4" w:space="0" w:color="17365D"/>
              <w:right w:val="nil"/>
            </w:tcBorders>
            <w:shd w:val="clear" w:color="000000" w:fill="FFFFFF"/>
            <w:vAlign w:val="center"/>
          </w:tcPr>
          <w:p w14:paraId="2397EDE9" w14:textId="2DBE162E"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277 930</w:t>
            </w:r>
          </w:p>
        </w:tc>
        <w:tc>
          <w:tcPr>
            <w:tcW w:w="1478" w:type="dxa"/>
            <w:tcBorders>
              <w:top w:val="single" w:sz="4" w:space="0" w:color="17365D"/>
              <w:left w:val="nil"/>
              <w:bottom w:val="single" w:sz="4" w:space="0" w:color="17365D"/>
              <w:right w:val="nil"/>
            </w:tcBorders>
            <w:shd w:val="clear" w:color="000000" w:fill="FFFFFF"/>
            <w:vAlign w:val="center"/>
          </w:tcPr>
          <w:p w14:paraId="168ED372" w14:textId="7A4C1940"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28 382</w:t>
            </w:r>
          </w:p>
        </w:tc>
        <w:tc>
          <w:tcPr>
            <w:tcW w:w="1629" w:type="dxa"/>
            <w:tcBorders>
              <w:top w:val="single" w:sz="4" w:space="0" w:color="17365D"/>
              <w:left w:val="nil"/>
              <w:bottom w:val="single" w:sz="4" w:space="0" w:color="17365D"/>
              <w:right w:val="nil"/>
            </w:tcBorders>
            <w:shd w:val="clear" w:color="000000" w:fill="FFFFFF"/>
            <w:vAlign w:val="center"/>
          </w:tcPr>
          <w:p w14:paraId="0052810D" w14:textId="0C579541"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249 548</w:t>
            </w:r>
          </w:p>
        </w:tc>
        <w:tc>
          <w:tcPr>
            <w:tcW w:w="1330" w:type="dxa"/>
            <w:tcBorders>
              <w:top w:val="single" w:sz="4" w:space="0" w:color="17365D"/>
              <w:left w:val="nil"/>
              <w:bottom w:val="single" w:sz="4" w:space="0" w:color="17365D"/>
              <w:right w:val="nil"/>
            </w:tcBorders>
            <w:shd w:val="clear" w:color="000000" w:fill="FFFFFF"/>
            <w:vAlign w:val="center"/>
          </w:tcPr>
          <w:p w14:paraId="782D91E2" w14:textId="5517E20F"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879.25</w:t>
            </w:r>
          </w:p>
        </w:tc>
      </w:tr>
      <w:tr w:rsidR="00D613A6" w:rsidRPr="00D613A6" w14:paraId="2C726AC3" w14:textId="77777777" w:rsidTr="00856306">
        <w:trPr>
          <w:trHeight w:val="284"/>
        </w:trPr>
        <w:tc>
          <w:tcPr>
            <w:tcW w:w="889" w:type="dxa"/>
            <w:tcBorders>
              <w:top w:val="single" w:sz="4" w:space="0" w:color="17365D"/>
              <w:left w:val="nil"/>
              <w:bottom w:val="single" w:sz="4" w:space="0" w:color="17365D"/>
              <w:right w:val="nil"/>
            </w:tcBorders>
            <w:vAlign w:val="center"/>
          </w:tcPr>
          <w:p w14:paraId="708B002F" w14:textId="46094534" w:rsidR="00EF287D" w:rsidRPr="00D613A6" w:rsidRDefault="00EF287D" w:rsidP="00EF287D">
            <w:pPr>
              <w:pStyle w:val="Pamatteksts1"/>
              <w:spacing w:before="40" w:after="40"/>
              <w:ind w:firstLine="0"/>
              <w:jc w:val="left"/>
              <w:rPr>
                <w:color w:val="17365D"/>
                <w:sz w:val="20"/>
                <w:szCs w:val="20"/>
              </w:rPr>
            </w:pPr>
            <w:r w:rsidRPr="00D613A6">
              <w:rPr>
                <w:b/>
                <w:color w:val="17365D"/>
                <w:sz w:val="20"/>
                <w:szCs w:val="20"/>
              </w:rPr>
              <w:t>2.0.</w:t>
            </w:r>
          </w:p>
        </w:tc>
        <w:tc>
          <w:tcPr>
            <w:tcW w:w="2581" w:type="dxa"/>
            <w:tcBorders>
              <w:top w:val="single" w:sz="4" w:space="0" w:color="17365D"/>
              <w:left w:val="nil"/>
              <w:bottom w:val="single" w:sz="4" w:space="0" w:color="17365D"/>
              <w:right w:val="nil"/>
            </w:tcBorders>
            <w:shd w:val="clear" w:color="000000" w:fill="FFFFFF"/>
            <w:vAlign w:val="center"/>
          </w:tcPr>
          <w:p w14:paraId="1F92F480" w14:textId="5304AF6C" w:rsidR="00EF287D" w:rsidRPr="00D613A6" w:rsidRDefault="00EF287D" w:rsidP="00EF287D">
            <w:pPr>
              <w:pStyle w:val="Pamatteksts1"/>
              <w:spacing w:before="40" w:after="40"/>
              <w:ind w:firstLine="0"/>
              <w:jc w:val="left"/>
              <w:rPr>
                <w:color w:val="17365D"/>
                <w:sz w:val="20"/>
                <w:szCs w:val="20"/>
              </w:rPr>
            </w:pPr>
            <w:r w:rsidRPr="00D613A6">
              <w:rPr>
                <w:b/>
                <w:bCs/>
                <w:color w:val="17365D"/>
                <w:sz w:val="20"/>
                <w:szCs w:val="20"/>
              </w:rPr>
              <w:t>Kapitālie izdevumi</w:t>
            </w:r>
          </w:p>
        </w:tc>
        <w:tc>
          <w:tcPr>
            <w:tcW w:w="1478" w:type="dxa"/>
            <w:tcBorders>
              <w:top w:val="single" w:sz="4" w:space="0" w:color="17365D"/>
              <w:left w:val="nil"/>
              <w:bottom w:val="single" w:sz="4" w:space="0" w:color="17365D"/>
              <w:right w:val="nil"/>
            </w:tcBorders>
            <w:shd w:val="clear" w:color="000000" w:fill="FFFFFF"/>
            <w:vAlign w:val="center"/>
          </w:tcPr>
          <w:p w14:paraId="7808183C" w14:textId="7AE8FE84"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109 333</w:t>
            </w:r>
          </w:p>
        </w:tc>
        <w:tc>
          <w:tcPr>
            <w:tcW w:w="1478" w:type="dxa"/>
            <w:tcBorders>
              <w:top w:val="single" w:sz="4" w:space="0" w:color="17365D"/>
              <w:left w:val="nil"/>
              <w:bottom w:val="single" w:sz="4" w:space="0" w:color="17365D"/>
              <w:right w:val="nil"/>
            </w:tcBorders>
            <w:shd w:val="clear" w:color="000000" w:fill="FFFFFF"/>
            <w:vAlign w:val="center"/>
          </w:tcPr>
          <w:p w14:paraId="6996A4B0" w14:textId="5A2C65C2"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45 768</w:t>
            </w:r>
          </w:p>
        </w:tc>
        <w:tc>
          <w:tcPr>
            <w:tcW w:w="1629" w:type="dxa"/>
            <w:tcBorders>
              <w:top w:val="single" w:sz="4" w:space="0" w:color="17365D"/>
              <w:left w:val="nil"/>
              <w:bottom w:val="single" w:sz="4" w:space="0" w:color="17365D"/>
              <w:right w:val="nil"/>
            </w:tcBorders>
            <w:shd w:val="clear" w:color="000000" w:fill="FFFFFF"/>
            <w:vAlign w:val="center"/>
          </w:tcPr>
          <w:p w14:paraId="5338ED8C" w14:textId="687D1C4A" w:rsidR="00EF287D" w:rsidRPr="00D613A6" w:rsidRDefault="00EF287D" w:rsidP="00EF287D">
            <w:pPr>
              <w:pStyle w:val="Pamatteksts1"/>
              <w:spacing w:before="60" w:after="60"/>
              <w:ind w:left="-107" w:right="-105" w:firstLine="0"/>
              <w:jc w:val="right"/>
              <w:rPr>
                <w:color w:val="17365D"/>
                <w:sz w:val="20"/>
                <w:szCs w:val="20"/>
              </w:rPr>
            </w:pPr>
            <w:r w:rsidRPr="00D613A6">
              <w:rPr>
                <w:b/>
                <w:color w:val="17365D"/>
                <w:sz w:val="20"/>
                <w:szCs w:val="20"/>
              </w:rPr>
              <w:t>63 565</w:t>
            </w:r>
          </w:p>
        </w:tc>
        <w:tc>
          <w:tcPr>
            <w:tcW w:w="1330" w:type="dxa"/>
            <w:tcBorders>
              <w:top w:val="single" w:sz="4" w:space="0" w:color="17365D"/>
              <w:left w:val="nil"/>
              <w:bottom w:val="single" w:sz="4" w:space="0" w:color="17365D"/>
              <w:right w:val="nil"/>
            </w:tcBorders>
            <w:shd w:val="clear" w:color="000000" w:fill="FFFFFF"/>
            <w:vAlign w:val="center"/>
          </w:tcPr>
          <w:p w14:paraId="49FDE621" w14:textId="2D604D40"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138.89</w:t>
            </w:r>
          </w:p>
        </w:tc>
      </w:tr>
      <w:tr w:rsidR="00D613A6" w:rsidRPr="00D613A6" w14:paraId="65116C00" w14:textId="77777777" w:rsidTr="00FF7920">
        <w:trPr>
          <w:trHeight w:val="284"/>
        </w:trPr>
        <w:tc>
          <w:tcPr>
            <w:tcW w:w="889" w:type="dxa"/>
            <w:tcBorders>
              <w:top w:val="single" w:sz="4" w:space="0" w:color="17365D"/>
              <w:left w:val="nil"/>
              <w:bottom w:val="nil"/>
              <w:right w:val="nil"/>
            </w:tcBorders>
            <w:vAlign w:val="center"/>
          </w:tcPr>
          <w:p w14:paraId="3C768E76" w14:textId="08DC72BE" w:rsidR="00EF287D" w:rsidRPr="00D613A6" w:rsidRDefault="00EF287D" w:rsidP="00EF287D">
            <w:pPr>
              <w:pStyle w:val="Pamatteksts1"/>
              <w:spacing w:before="40" w:after="40"/>
              <w:ind w:firstLine="0"/>
              <w:jc w:val="left"/>
              <w:rPr>
                <w:b/>
                <w:color w:val="17365D"/>
                <w:sz w:val="20"/>
                <w:szCs w:val="20"/>
              </w:rPr>
            </w:pPr>
            <w:r w:rsidRPr="00D613A6">
              <w:rPr>
                <w:color w:val="17365D"/>
                <w:sz w:val="20"/>
                <w:szCs w:val="20"/>
              </w:rPr>
              <w:t>2.1.</w:t>
            </w:r>
          </w:p>
        </w:tc>
        <w:tc>
          <w:tcPr>
            <w:tcW w:w="2581" w:type="dxa"/>
            <w:tcBorders>
              <w:top w:val="single" w:sz="4" w:space="0" w:color="17365D"/>
              <w:left w:val="nil"/>
              <w:bottom w:val="nil"/>
              <w:right w:val="nil"/>
            </w:tcBorders>
            <w:shd w:val="clear" w:color="000000" w:fill="FFFFFF"/>
            <w:vAlign w:val="center"/>
          </w:tcPr>
          <w:p w14:paraId="2B44139E" w14:textId="5692188E" w:rsidR="00EF287D" w:rsidRPr="00D613A6" w:rsidRDefault="00EF287D" w:rsidP="00EF287D">
            <w:pPr>
              <w:pStyle w:val="Pamatteksts1"/>
              <w:spacing w:before="40" w:after="40"/>
              <w:ind w:firstLine="0"/>
              <w:jc w:val="left"/>
              <w:rPr>
                <w:b/>
                <w:bCs/>
                <w:color w:val="17365D"/>
                <w:sz w:val="20"/>
                <w:szCs w:val="20"/>
              </w:rPr>
            </w:pPr>
            <w:r w:rsidRPr="00D613A6">
              <w:rPr>
                <w:bCs/>
                <w:color w:val="17365D"/>
                <w:sz w:val="20"/>
                <w:szCs w:val="20"/>
              </w:rPr>
              <w:t>Pamatkapitāla veidošana</w:t>
            </w:r>
          </w:p>
        </w:tc>
        <w:tc>
          <w:tcPr>
            <w:tcW w:w="1478" w:type="dxa"/>
            <w:tcBorders>
              <w:top w:val="single" w:sz="4" w:space="0" w:color="17365D"/>
              <w:left w:val="nil"/>
              <w:bottom w:val="nil"/>
              <w:right w:val="nil"/>
            </w:tcBorders>
            <w:shd w:val="clear" w:color="000000" w:fill="FFFFFF"/>
            <w:vAlign w:val="center"/>
          </w:tcPr>
          <w:p w14:paraId="498FDF33" w14:textId="434642BC"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109 333</w:t>
            </w:r>
          </w:p>
        </w:tc>
        <w:tc>
          <w:tcPr>
            <w:tcW w:w="1478" w:type="dxa"/>
            <w:tcBorders>
              <w:top w:val="single" w:sz="4" w:space="0" w:color="17365D"/>
              <w:left w:val="nil"/>
              <w:bottom w:val="nil"/>
              <w:right w:val="nil"/>
            </w:tcBorders>
            <w:shd w:val="clear" w:color="000000" w:fill="FFFFFF"/>
            <w:vAlign w:val="center"/>
          </w:tcPr>
          <w:p w14:paraId="2F7290BA" w14:textId="00D1F898"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45 768</w:t>
            </w:r>
          </w:p>
        </w:tc>
        <w:tc>
          <w:tcPr>
            <w:tcW w:w="1629" w:type="dxa"/>
            <w:tcBorders>
              <w:top w:val="single" w:sz="4" w:space="0" w:color="17365D"/>
              <w:left w:val="nil"/>
              <w:bottom w:val="nil"/>
              <w:right w:val="nil"/>
            </w:tcBorders>
            <w:shd w:val="clear" w:color="000000" w:fill="FFFFFF"/>
            <w:vAlign w:val="center"/>
          </w:tcPr>
          <w:p w14:paraId="59270A4F" w14:textId="101226A2" w:rsidR="00EF287D" w:rsidRPr="00D613A6" w:rsidRDefault="00EF287D" w:rsidP="00EF287D">
            <w:pPr>
              <w:pStyle w:val="Pamatteksts1"/>
              <w:spacing w:before="60" w:after="60"/>
              <w:ind w:left="-107" w:right="-105" w:firstLine="0"/>
              <w:jc w:val="right"/>
              <w:rPr>
                <w:b/>
                <w:color w:val="17365D"/>
                <w:sz w:val="20"/>
                <w:szCs w:val="20"/>
              </w:rPr>
            </w:pPr>
            <w:r w:rsidRPr="00D613A6">
              <w:rPr>
                <w:color w:val="17365D"/>
                <w:sz w:val="20"/>
                <w:szCs w:val="20"/>
              </w:rPr>
              <w:t>63 565</w:t>
            </w:r>
          </w:p>
        </w:tc>
        <w:tc>
          <w:tcPr>
            <w:tcW w:w="1330" w:type="dxa"/>
            <w:tcBorders>
              <w:top w:val="single" w:sz="4" w:space="0" w:color="17365D"/>
              <w:left w:val="nil"/>
              <w:bottom w:val="nil"/>
              <w:right w:val="nil"/>
            </w:tcBorders>
            <w:shd w:val="clear" w:color="000000" w:fill="FFFFFF"/>
            <w:vAlign w:val="center"/>
          </w:tcPr>
          <w:p w14:paraId="49C35144" w14:textId="3C1C792D"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138.89</w:t>
            </w:r>
          </w:p>
        </w:tc>
      </w:tr>
      <w:tr w:rsidR="00D613A6" w:rsidRPr="00D613A6" w14:paraId="12A03A56" w14:textId="77777777" w:rsidTr="00FF7920">
        <w:trPr>
          <w:trHeight w:val="284"/>
        </w:trPr>
        <w:tc>
          <w:tcPr>
            <w:tcW w:w="889" w:type="dxa"/>
            <w:tcBorders>
              <w:top w:val="nil"/>
              <w:left w:val="nil"/>
              <w:bottom w:val="nil"/>
              <w:right w:val="nil"/>
            </w:tcBorders>
            <w:shd w:val="clear" w:color="auto" w:fill="B9CDE5"/>
            <w:vAlign w:val="center"/>
          </w:tcPr>
          <w:p w14:paraId="68693515" w14:textId="128A14D9" w:rsidR="00EF287D" w:rsidRPr="00D613A6" w:rsidRDefault="00EF287D" w:rsidP="00EF287D">
            <w:pPr>
              <w:pStyle w:val="Pamatteksts1"/>
              <w:spacing w:before="40" w:after="40"/>
              <w:ind w:firstLine="0"/>
              <w:jc w:val="left"/>
              <w:rPr>
                <w:color w:val="17365D"/>
                <w:sz w:val="20"/>
                <w:szCs w:val="20"/>
              </w:rPr>
            </w:pPr>
          </w:p>
        </w:tc>
        <w:tc>
          <w:tcPr>
            <w:tcW w:w="2581" w:type="dxa"/>
            <w:tcBorders>
              <w:top w:val="nil"/>
              <w:left w:val="nil"/>
              <w:bottom w:val="nil"/>
              <w:right w:val="nil"/>
            </w:tcBorders>
            <w:shd w:val="clear" w:color="auto" w:fill="B9CDE5"/>
            <w:vAlign w:val="center"/>
          </w:tcPr>
          <w:p w14:paraId="272654DA" w14:textId="564E82E7" w:rsidR="00EF287D" w:rsidRPr="00D613A6" w:rsidRDefault="00EF287D" w:rsidP="00EF287D">
            <w:pPr>
              <w:pStyle w:val="Pamatteksts1"/>
              <w:spacing w:before="40" w:after="40"/>
              <w:ind w:firstLine="0"/>
              <w:jc w:val="left"/>
              <w:rPr>
                <w:color w:val="17365D"/>
                <w:sz w:val="20"/>
                <w:szCs w:val="20"/>
              </w:rPr>
            </w:pPr>
          </w:p>
        </w:tc>
        <w:tc>
          <w:tcPr>
            <w:tcW w:w="1478" w:type="dxa"/>
            <w:tcBorders>
              <w:top w:val="nil"/>
              <w:left w:val="nil"/>
              <w:bottom w:val="nil"/>
              <w:right w:val="nil"/>
            </w:tcBorders>
            <w:shd w:val="clear" w:color="auto" w:fill="B9CDE5"/>
            <w:vAlign w:val="center"/>
          </w:tcPr>
          <w:p w14:paraId="40477519" w14:textId="1D00A8FE" w:rsidR="00EF287D" w:rsidRPr="00D613A6" w:rsidRDefault="00EF287D" w:rsidP="00EF287D">
            <w:pPr>
              <w:pStyle w:val="Pamatteksts1"/>
              <w:spacing w:before="40" w:after="40"/>
              <w:ind w:firstLine="0"/>
              <w:jc w:val="right"/>
              <w:rPr>
                <w:color w:val="17365D"/>
                <w:sz w:val="20"/>
                <w:szCs w:val="20"/>
              </w:rPr>
            </w:pPr>
          </w:p>
        </w:tc>
        <w:tc>
          <w:tcPr>
            <w:tcW w:w="1478" w:type="dxa"/>
            <w:tcBorders>
              <w:top w:val="nil"/>
              <w:left w:val="nil"/>
              <w:bottom w:val="nil"/>
              <w:right w:val="nil"/>
            </w:tcBorders>
            <w:shd w:val="clear" w:color="auto" w:fill="B9CDE5"/>
            <w:vAlign w:val="center"/>
          </w:tcPr>
          <w:p w14:paraId="10640D09" w14:textId="3D5FE048" w:rsidR="00EF287D" w:rsidRPr="00D613A6" w:rsidRDefault="00EF287D" w:rsidP="00EF287D">
            <w:pPr>
              <w:pStyle w:val="Pamatteksts1"/>
              <w:spacing w:before="40" w:after="40"/>
              <w:ind w:firstLine="0"/>
              <w:jc w:val="right"/>
              <w:rPr>
                <w:color w:val="17365D"/>
                <w:sz w:val="20"/>
                <w:szCs w:val="20"/>
              </w:rPr>
            </w:pPr>
          </w:p>
        </w:tc>
        <w:tc>
          <w:tcPr>
            <w:tcW w:w="1629" w:type="dxa"/>
            <w:tcBorders>
              <w:top w:val="nil"/>
              <w:left w:val="nil"/>
              <w:bottom w:val="nil"/>
              <w:right w:val="nil"/>
            </w:tcBorders>
            <w:shd w:val="clear" w:color="auto" w:fill="B9CDE5"/>
            <w:vAlign w:val="center"/>
          </w:tcPr>
          <w:p w14:paraId="6954DAA6" w14:textId="222BF2FD" w:rsidR="00EF287D" w:rsidRPr="00D613A6" w:rsidRDefault="00EF287D" w:rsidP="00EF287D">
            <w:pPr>
              <w:pStyle w:val="Pamatteksts1"/>
              <w:spacing w:before="60" w:after="60"/>
              <w:ind w:left="-107" w:right="-105" w:firstLine="0"/>
              <w:jc w:val="right"/>
              <w:rPr>
                <w:color w:val="17365D"/>
                <w:sz w:val="20"/>
                <w:szCs w:val="20"/>
              </w:rPr>
            </w:pPr>
          </w:p>
        </w:tc>
        <w:tc>
          <w:tcPr>
            <w:tcW w:w="1330" w:type="dxa"/>
            <w:tcBorders>
              <w:top w:val="nil"/>
              <w:left w:val="nil"/>
              <w:bottom w:val="nil"/>
              <w:right w:val="nil"/>
            </w:tcBorders>
            <w:shd w:val="clear" w:color="auto" w:fill="B9CDE5"/>
            <w:vAlign w:val="center"/>
          </w:tcPr>
          <w:p w14:paraId="7754FDF9" w14:textId="0B159CAB" w:rsidR="00EF287D" w:rsidRPr="00D613A6" w:rsidRDefault="00EF287D" w:rsidP="00EF287D">
            <w:pPr>
              <w:pStyle w:val="Pamatteksts1"/>
              <w:spacing w:before="40" w:after="40"/>
              <w:ind w:firstLine="0"/>
              <w:jc w:val="right"/>
              <w:rPr>
                <w:color w:val="17365D"/>
                <w:sz w:val="20"/>
                <w:szCs w:val="20"/>
              </w:rPr>
            </w:pPr>
          </w:p>
        </w:tc>
      </w:tr>
    </w:tbl>
    <w:p w14:paraId="45F465D4" w14:textId="1B313DA5" w:rsidR="00026D5A" w:rsidRPr="00D613A6" w:rsidRDefault="00026D5A" w:rsidP="00026D5A">
      <w:pPr>
        <w:pStyle w:val="Heading1"/>
        <w:rPr>
          <w:rFonts w:cs="Times New Roman"/>
          <w:noProof w:val="0"/>
          <w:color w:val="17365D"/>
        </w:rPr>
      </w:pPr>
      <w:r w:rsidRPr="00D613A6">
        <w:rPr>
          <w:rFonts w:cs="Times New Roman"/>
          <w:noProof w:val="0"/>
          <w:color w:val="17365D"/>
        </w:rPr>
        <w:t xml:space="preserve">No valsts budžeta daļēji finansētu atvasinātu publisku personu un budžeta nefinansētu iestāžu konsolidētā pamatdarbība </w:t>
      </w:r>
    </w:p>
    <w:p w14:paraId="5D06AEF6" w14:textId="3F788536" w:rsidR="00BB7CB3" w:rsidRDefault="00701204" w:rsidP="00026D5A">
      <w:pPr>
        <w:pStyle w:val="Pamatteksts1"/>
        <w:spacing w:before="40" w:after="40"/>
        <w:rPr>
          <w:noProof w:val="0"/>
          <w:color w:val="17365D"/>
        </w:rPr>
      </w:pPr>
      <w:r w:rsidRPr="00D613A6">
        <w:rPr>
          <w:b/>
          <w:color w:val="17365D"/>
        </w:rPr>
        <mc:AlternateContent>
          <mc:Choice Requires="wps">
            <w:drawing>
              <wp:anchor distT="0" distB="0" distL="114300" distR="114300" simplePos="0" relativeHeight="251648512" behindDoc="1" locked="0" layoutInCell="1" allowOverlap="1" wp14:anchorId="1CA63B6B" wp14:editId="73728786">
                <wp:simplePos x="0" y="0"/>
                <wp:positionH relativeFrom="column">
                  <wp:posOffset>4263390</wp:posOffset>
                </wp:positionH>
                <wp:positionV relativeFrom="paragraph">
                  <wp:posOffset>53416</wp:posOffset>
                </wp:positionV>
                <wp:extent cx="1681200" cy="745200"/>
                <wp:effectExtent l="0" t="0" r="14605" b="17145"/>
                <wp:wrapThrough wrapText="bothSides">
                  <wp:wrapPolygon edited="0">
                    <wp:start x="0" y="0"/>
                    <wp:lineTo x="0" y="21545"/>
                    <wp:lineTo x="21543" y="21545"/>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22286A80" w14:textId="77777777" w:rsidR="000A5BFC" w:rsidRPr="00815A40" w:rsidRDefault="000A5BFC" w:rsidP="00E578DC">
                            <w:pPr>
                              <w:spacing w:after="0"/>
                              <w:ind w:firstLine="0"/>
                              <w:jc w:val="center"/>
                              <w:rPr>
                                <w:color w:val="17365D"/>
                              </w:rPr>
                            </w:pPr>
                            <w:r w:rsidRPr="00815A40">
                              <w:rPr>
                                <w:color w:val="17365D"/>
                              </w:rPr>
                              <w:t>Pamatdarbības ieņēmumi –</w:t>
                            </w:r>
                          </w:p>
                          <w:p w14:paraId="038A6780" w14:textId="34493EAB" w:rsidR="000A5BFC" w:rsidRPr="00815A40" w:rsidRDefault="000A5BFC" w:rsidP="00E578DC">
                            <w:pPr>
                              <w:spacing w:after="0"/>
                              <w:ind w:firstLine="0"/>
                              <w:jc w:val="center"/>
                              <w:rPr>
                                <w:color w:val="17365D"/>
                              </w:rPr>
                            </w:pPr>
                            <w:r w:rsidRPr="00A16179">
                              <w:rPr>
                                <w:b/>
                                <w:color w:val="17365D"/>
                              </w:rPr>
                              <w:t>6</w:t>
                            </w:r>
                            <w:r>
                              <w:rPr>
                                <w:b/>
                                <w:color w:val="17365D"/>
                              </w:rPr>
                              <w:t>61 116 385</w:t>
                            </w:r>
                            <w:r w:rsidRPr="00A16179">
                              <w:rPr>
                                <w:b/>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63B6B" id="Rectangle 36" o:spid="_x0000_s1034" style="position:absolute;left:0;text-align:left;margin-left:335.7pt;margin-top:4.2pt;width:132.4pt;height:58.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" fillcolor="window" strokecolor="#17365d" strokeweight="2pt">
                <v:stroke dashstyle="1 1"/>
                <v:textbox>
                  <w:txbxContent>
                    <w:p w14:paraId="22286A80" w14:textId="77777777" w:rsidR="000A5BFC" w:rsidRPr="00815A40" w:rsidRDefault="000A5BFC" w:rsidP="00E578DC">
                      <w:pPr>
                        <w:spacing w:after="0"/>
                        <w:ind w:firstLine="0"/>
                        <w:jc w:val="center"/>
                        <w:rPr>
                          <w:color w:val="17365D"/>
                        </w:rPr>
                      </w:pPr>
                      <w:r w:rsidRPr="00815A40">
                        <w:rPr>
                          <w:color w:val="17365D"/>
                        </w:rPr>
                        <w:t>Pamatdarbības ieņēmumi –</w:t>
                      </w:r>
                    </w:p>
                    <w:p w14:paraId="038A6780" w14:textId="34493EAB" w:rsidR="000A5BFC" w:rsidRPr="00815A40" w:rsidRDefault="000A5BFC" w:rsidP="00E578DC">
                      <w:pPr>
                        <w:spacing w:after="0"/>
                        <w:ind w:firstLine="0"/>
                        <w:jc w:val="center"/>
                        <w:rPr>
                          <w:color w:val="17365D"/>
                        </w:rPr>
                      </w:pPr>
                      <w:r w:rsidRPr="00A16179">
                        <w:rPr>
                          <w:b/>
                          <w:color w:val="17365D"/>
                        </w:rPr>
                        <w:t>6</w:t>
                      </w:r>
                      <w:r>
                        <w:rPr>
                          <w:b/>
                          <w:color w:val="17365D"/>
                        </w:rPr>
                        <w:t>61 116 385</w:t>
                      </w:r>
                      <w:r w:rsidRPr="00A16179">
                        <w:rPr>
                          <w:b/>
                          <w:color w:val="17365D"/>
                        </w:rPr>
                        <w:t xml:space="preserve"> </w:t>
                      </w:r>
                      <w:r w:rsidRPr="00815A40">
                        <w:rPr>
                          <w:i/>
                          <w:color w:val="17365D"/>
                        </w:rPr>
                        <w:t>euro</w:t>
                      </w:r>
                    </w:p>
                  </w:txbxContent>
                </v:textbox>
                <w10:wrap type="through"/>
              </v:rect>
            </w:pict>
          </mc:Fallback>
        </mc:AlternateContent>
      </w:r>
      <w:r w:rsidR="00026D5A" w:rsidRPr="00D613A6">
        <w:rPr>
          <w:noProof w:val="0"/>
          <w:color w:val="17365D"/>
        </w:rPr>
        <w:t xml:space="preserve">No valsts budžeta daļēji finansētu atvasinātu publisku personu un budžeta nefinansētu iestāžu pamatdarbības ieņēmumi ir </w:t>
      </w:r>
      <w:r w:rsidR="00A16179" w:rsidRPr="00D613A6">
        <w:rPr>
          <w:noProof w:val="0"/>
          <w:color w:val="17365D"/>
        </w:rPr>
        <w:t>6</w:t>
      </w:r>
      <w:r w:rsidR="004852DF" w:rsidRPr="00D613A6">
        <w:rPr>
          <w:noProof w:val="0"/>
          <w:color w:val="17365D"/>
        </w:rPr>
        <w:t>61</w:t>
      </w:r>
      <w:r w:rsidR="00026D5A" w:rsidRPr="00D613A6">
        <w:rPr>
          <w:noProof w:val="0"/>
          <w:color w:val="17365D"/>
        </w:rPr>
        <w:t>,</w:t>
      </w:r>
      <w:r w:rsidR="004852DF" w:rsidRPr="00D613A6">
        <w:rPr>
          <w:noProof w:val="0"/>
          <w:color w:val="17365D"/>
        </w:rPr>
        <w:t>1</w:t>
      </w:r>
      <w:r w:rsidR="00026D5A" w:rsidRPr="00D613A6">
        <w:rPr>
          <w:noProof w:val="0"/>
          <w:color w:val="17365D"/>
        </w:rPr>
        <w:t> milj. </w:t>
      </w:r>
      <w:r w:rsidR="00026D5A" w:rsidRPr="00D613A6">
        <w:rPr>
          <w:i/>
          <w:noProof w:val="0"/>
          <w:color w:val="17365D"/>
        </w:rPr>
        <w:t xml:space="preserve">euro </w:t>
      </w:r>
      <w:r w:rsidR="00026D5A" w:rsidRPr="00D613A6">
        <w:rPr>
          <w:noProof w:val="0"/>
          <w:color w:val="17365D"/>
        </w:rPr>
        <w:t>vērtībā, kas salīdzinot ar 202</w:t>
      </w:r>
      <w:r w:rsidR="004852DF" w:rsidRPr="00D613A6">
        <w:rPr>
          <w:noProof w:val="0"/>
          <w:color w:val="17365D"/>
        </w:rPr>
        <w:t>3</w:t>
      </w:r>
      <w:r w:rsidR="00026D5A" w:rsidRPr="00D613A6">
        <w:rPr>
          <w:noProof w:val="0"/>
          <w:color w:val="17365D"/>
        </w:rPr>
        <w:t xml:space="preserve">. gadu, palielinājušies par </w:t>
      </w:r>
      <w:r w:rsidR="004852DF" w:rsidRPr="00D613A6">
        <w:rPr>
          <w:noProof w:val="0"/>
          <w:color w:val="17365D"/>
        </w:rPr>
        <w:t>58</w:t>
      </w:r>
      <w:r w:rsidR="00026D5A" w:rsidRPr="00D613A6">
        <w:rPr>
          <w:noProof w:val="0"/>
          <w:color w:val="17365D"/>
        </w:rPr>
        <w:t>,</w:t>
      </w:r>
      <w:r w:rsidR="004852DF" w:rsidRPr="00D613A6">
        <w:rPr>
          <w:noProof w:val="0"/>
          <w:color w:val="17365D"/>
        </w:rPr>
        <w:t>4</w:t>
      </w:r>
      <w:r w:rsidR="00026D5A" w:rsidRPr="00D613A6">
        <w:rPr>
          <w:noProof w:val="0"/>
          <w:color w:val="17365D"/>
        </w:rPr>
        <w:t> milj. </w:t>
      </w:r>
      <w:r w:rsidR="00026D5A" w:rsidRPr="00D613A6">
        <w:rPr>
          <w:i/>
          <w:noProof w:val="0"/>
          <w:color w:val="17365D"/>
        </w:rPr>
        <w:t>euro</w:t>
      </w:r>
      <w:r w:rsidR="00026D5A" w:rsidRPr="00D613A6">
        <w:rPr>
          <w:noProof w:val="0"/>
          <w:color w:val="17365D"/>
        </w:rPr>
        <w:t xml:space="preserve"> jeb </w:t>
      </w:r>
      <w:r w:rsidR="004852DF" w:rsidRPr="00D613A6">
        <w:rPr>
          <w:noProof w:val="0"/>
          <w:color w:val="17365D"/>
        </w:rPr>
        <w:t>9</w:t>
      </w:r>
      <w:r w:rsidR="00026D5A" w:rsidRPr="00D613A6">
        <w:rPr>
          <w:noProof w:val="0"/>
          <w:color w:val="17365D"/>
        </w:rPr>
        <w:t>,</w:t>
      </w:r>
      <w:r w:rsidR="004852DF" w:rsidRPr="00D613A6">
        <w:rPr>
          <w:noProof w:val="0"/>
          <w:color w:val="17365D"/>
        </w:rPr>
        <w:t>69</w:t>
      </w:r>
      <w:r w:rsidR="00026D5A" w:rsidRPr="00D613A6">
        <w:rPr>
          <w:noProof w:val="0"/>
          <w:color w:val="17365D"/>
        </w:rPr>
        <w:t xml:space="preserve"> % (skatīt </w:t>
      </w:r>
      <w:r w:rsidR="00872488" w:rsidRPr="00D613A6">
        <w:rPr>
          <w:noProof w:val="0"/>
          <w:color w:val="17365D"/>
        </w:rPr>
        <w:t>6.</w:t>
      </w:r>
      <w:r w:rsidR="00641409" w:rsidRPr="00D613A6">
        <w:rPr>
          <w:noProof w:val="0"/>
          <w:color w:val="17365D"/>
        </w:rPr>
        <w:t>10</w:t>
      </w:r>
      <w:r w:rsidR="00026D5A" w:rsidRPr="00D613A6">
        <w:rPr>
          <w:noProof w:val="0"/>
          <w:color w:val="17365D"/>
        </w:rPr>
        <w:t>. tabulu). Detalizēta informācija skatāma 202</w:t>
      </w:r>
      <w:r w:rsidR="004852DF" w:rsidRPr="00D613A6">
        <w:rPr>
          <w:noProof w:val="0"/>
          <w:color w:val="17365D"/>
        </w:rPr>
        <w:t>4</w:t>
      </w:r>
      <w:r w:rsidR="00026D5A" w:rsidRPr="00D613A6">
        <w:rPr>
          <w:noProof w:val="0"/>
          <w:color w:val="17365D"/>
        </w:rPr>
        <w:t xml:space="preserve">. gada pārskata </w:t>
      </w:r>
      <w:r w:rsidR="000321C6" w:rsidRPr="00D613A6">
        <w:rPr>
          <w:noProof w:val="0"/>
          <w:color w:val="17365D"/>
        </w:rPr>
        <w:t>19. tabula</w:t>
      </w:r>
      <w:r w:rsidR="00026D5A" w:rsidRPr="00D613A6">
        <w:rPr>
          <w:noProof w:val="0"/>
          <w:color w:val="17365D"/>
        </w:rPr>
        <w:t xml:space="preserve"> “No valsts budžeta daļēji finansētu atvasinātu publisku personu un budžeta nefinansētu iestāžu konsolidētā pamatdarbības izpilde”. </w:t>
      </w:r>
    </w:p>
    <w:p w14:paraId="0D9B308D" w14:textId="064A3D29" w:rsidR="006E06CE" w:rsidRDefault="006E06CE" w:rsidP="00026D5A">
      <w:pPr>
        <w:pStyle w:val="Pamatteksts1"/>
        <w:spacing w:before="40" w:after="40"/>
        <w:rPr>
          <w:noProof w:val="0"/>
          <w:color w:val="17365D"/>
        </w:rPr>
      </w:pPr>
      <w:r w:rsidRPr="00D613A6">
        <w:rPr>
          <w:noProof w:val="0"/>
          <w:color w:val="17365D"/>
        </w:rPr>
        <w:t>Būtiskas izmaiņas veidojas postenī “Ārvalstu finanšu palīdzība” – pārskata periodā saņemti līdzekļi 51,9</w:t>
      </w:r>
      <w:r w:rsidRPr="00D613A6">
        <w:rPr>
          <w:color w:val="17365D"/>
        </w:rPr>
        <w:t> </w:t>
      </w:r>
      <w:r w:rsidRPr="00D613A6">
        <w:rPr>
          <w:noProof w:val="0"/>
          <w:color w:val="17365D"/>
        </w:rPr>
        <w:t xml:space="preserve">milj. </w:t>
      </w:r>
      <w:r w:rsidRPr="00D613A6">
        <w:rPr>
          <w:i/>
          <w:noProof w:val="0"/>
          <w:color w:val="17365D"/>
        </w:rPr>
        <w:t xml:space="preserve">euro </w:t>
      </w:r>
      <w:r w:rsidRPr="00D613A6">
        <w:rPr>
          <w:color w:val="17365D"/>
        </w:rPr>
        <w:t>vērtībā</w:t>
      </w:r>
      <w:r w:rsidRPr="00D613A6">
        <w:rPr>
          <w:noProof w:val="0"/>
          <w:color w:val="17365D"/>
        </w:rPr>
        <w:t xml:space="preserve">, kas salīdzinājumā ar 2023. gadu ir par 14,8 milj. </w:t>
      </w:r>
      <w:r w:rsidRPr="00D613A6">
        <w:rPr>
          <w:i/>
          <w:noProof w:val="0"/>
          <w:color w:val="17365D"/>
        </w:rPr>
        <w:t>euro</w:t>
      </w:r>
      <w:r w:rsidRPr="00D613A6">
        <w:rPr>
          <w:noProof w:val="0"/>
          <w:color w:val="17365D"/>
        </w:rPr>
        <w:t xml:space="preserve"> jeb 39,76</w:t>
      </w:r>
      <w:r w:rsidRPr="00D613A6">
        <w:rPr>
          <w:color w:val="17365D"/>
        </w:rPr>
        <w:t> </w:t>
      </w:r>
      <w:r w:rsidRPr="00D613A6">
        <w:rPr>
          <w:noProof w:val="0"/>
          <w:color w:val="17365D"/>
        </w:rPr>
        <w:t xml:space="preserve">% vairāk. Būtiskākais pieaugums ir Izglītības un zinātnes ministrijai 13,3 milj. </w:t>
      </w:r>
      <w:r w:rsidRPr="00D613A6">
        <w:rPr>
          <w:i/>
          <w:noProof w:val="0"/>
          <w:color w:val="17365D"/>
        </w:rPr>
        <w:t>euro</w:t>
      </w:r>
      <w:r w:rsidRPr="00D613A6">
        <w:rPr>
          <w:noProof w:val="0"/>
          <w:color w:val="17365D"/>
        </w:rPr>
        <w:t>, Veselības ministrijai 1,9 milj.</w:t>
      </w:r>
      <w:r w:rsidRPr="00D613A6">
        <w:rPr>
          <w:color w:val="17365D"/>
        </w:rPr>
        <w:t xml:space="preserve"> </w:t>
      </w:r>
      <w:r w:rsidRPr="00D613A6">
        <w:rPr>
          <w:i/>
          <w:noProof w:val="0"/>
          <w:color w:val="17365D"/>
        </w:rPr>
        <w:t>euro</w:t>
      </w:r>
      <w:r w:rsidRPr="00D613A6">
        <w:rPr>
          <w:noProof w:val="0"/>
          <w:color w:val="17365D"/>
        </w:rPr>
        <w:t xml:space="preserve"> un Zemkopības ministrijai 0,5</w:t>
      </w:r>
      <w:r w:rsidRPr="00D613A6">
        <w:rPr>
          <w:color w:val="17365D"/>
        </w:rPr>
        <w:t> </w:t>
      </w:r>
      <w:r w:rsidRPr="00D613A6">
        <w:rPr>
          <w:noProof w:val="0"/>
          <w:color w:val="17365D"/>
        </w:rPr>
        <w:t>milj. </w:t>
      </w:r>
      <w:r w:rsidRPr="00D613A6">
        <w:rPr>
          <w:i/>
          <w:noProof w:val="0"/>
          <w:color w:val="17365D"/>
        </w:rPr>
        <w:t>euro</w:t>
      </w:r>
      <w:r w:rsidRPr="00D613A6">
        <w:rPr>
          <w:noProof w:val="0"/>
          <w:color w:val="17365D"/>
        </w:rPr>
        <w:t>.</w:t>
      </w:r>
    </w:p>
    <w:p w14:paraId="6AD7531D" w14:textId="0CAA0F63" w:rsidR="00732ED7" w:rsidRPr="00D613A6" w:rsidRDefault="00872488" w:rsidP="00732ED7">
      <w:pPr>
        <w:spacing w:before="160" w:after="0"/>
        <w:ind w:firstLine="0"/>
        <w:jc w:val="right"/>
        <w:rPr>
          <w:rFonts w:eastAsia="Arial Unicode MS"/>
          <w:i/>
          <w:color w:val="17365D"/>
          <w:sz w:val="20"/>
        </w:rPr>
      </w:pPr>
      <w:r w:rsidRPr="00D613A6">
        <w:rPr>
          <w:rFonts w:eastAsia="Arial Unicode MS"/>
          <w:i/>
          <w:color w:val="17365D"/>
          <w:sz w:val="20"/>
        </w:rPr>
        <w:lastRenderedPageBreak/>
        <w:t>6.</w:t>
      </w:r>
      <w:r w:rsidR="00C551CC" w:rsidRPr="00D613A6">
        <w:rPr>
          <w:rFonts w:eastAsia="Arial Unicode MS"/>
          <w:i/>
          <w:color w:val="17365D"/>
          <w:sz w:val="20"/>
        </w:rPr>
        <w:t>10</w:t>
      </w:r>
      <w:r w:rsidR="00732ED7" w:rsidRPr="00D613A6">
        <w:rPr>
          <w:rFonts w:eastAsia="Arial Unicode MS"/>
          <w:i/>
          <w:color w:val="17365D"/>
          <w:sz w:val="20"/>
        </w:rPr>
        <w:t xml:space="preserve">. tabula. </w:t>
      </w:r>
      <w:r w:rsidR="00732ED7" w:rsidRPr="00D613A6">
        <w:rPr>
          <w:bCs/>
          <w:i/>
          <w:color w:val="17365D"/>
          <w:sz w:val="20"/>
          <w:szCs w:val="20"/>
        </w:rPr>
        <w:t>Ieņēmum</w:t>
      </w:r>
      <w:r w:rsidR="00CE2F1C" w:rsidRPr="00D613A6">
        <w:rPr>
          <w:bCs/>
          <w:i/>
          <w:color w:val="17365D"/>
          <w:sz w:val="20"/>
          <w:szCs w:val="20"/>
        </w:rPr>
        <w:t>u</w:t>
      </w:r>
      <w:r w:rsidR="00732ED7" w:rsidRPr="00D613A6">
        <w:rPr>
          <w:bCs/>
          <w:i/>
          <w:color w:val="17365D"/>
          <w:sz w:val="20"/>
          <w:szCs w:val="20"/>
        </w:rPr>
        <w:t xml:space="preserve"> no pamat</w:t>
      </w:r>
      <w:r w:rsidR="00CD76C2" w:rsidRPr="00D613A6">
        <w:rPr>
          <w:bCs/>
          <w:i/>
          <w:color w:val="17365D"/>
          <w:sz w:val="20"/>
          <w:szCs w:val="20"/>
        </w:rPr>
        <w:t>darbības</w:t>
      </w:r>
      <w:r w:rsidR="00CE2F1C" w:rsidRPr="00D613A6">
        <w:rPr>
          <w:bCs/>
          <w:i/>
          <w:color w:val="17365D"/>
          <w:sz w:val="20"/>
          <w:szCs w:val="20"/>
        </w:rPr>
        <w:t xml:space="preserve"> izmaiņas</w:t>
      </w:r>
      <w:r w:rsidR="00CD76C2" w:rsidRPr="00D613A6">
        <w:rPr>
          <w:bCs/>
          <w:i/>
          <w:color w:val="17365D"/>
          <w:sz w:val="20"/>
          <w:szCs w:val="20"/>
        </w:rPr>
        <w:t xml:space="preserve"> </w:t>
      </w:r>
      <w:r w:rsidR="00732ED7" w:rsidRPr="00D613A6">
        <w:rPr>
          <w:bCs/>
          <w:i/>
          <w:color w:val="17365D"/>
          <w:sz w:val="20"/>
          <w:szCs w:val="20"/>
        </w:rPr>
        <w:t>(</w:t>
      </w:r>
      <w:r w:rsidR="00732ED7" w:rsidRPr="00D613A6">
        <w:rPr>
          <w:i/>
          <w:color w:val="17365D"/>
          <w:sz w:val="20"/>
        </w:rPr>
        <w:t>euro)</w:t>
      </w:r>
    </w:p>
    <w:tbl>
      <w:tblPr>
        <w:tblStyle w:val="TableGrid"/>
        <w:tblW w:w="9376" w:type="dxa"/>
        <w:tblInd w:w="-5" w:type="dxa"/>
        <w:tblLayout w:type="fixed"/>
        <w:tblLook w:val="04A0" w:firstRow="1" w:lastRow="0" w:firstColumn="1" w:lastColumn="0" w:noHBand="0" w:noVBand="1"/>
      </w:tblPr>
      <w:tblGrid>
        <w:gridCol w:w="884"/>
        <w:gridCol w:w="2578"/>
        <w:gridCol w:w="1480"/>
        <w:gridCol w:w="1480"/>
        <w:gridCol w:w="1626"/>
        <w:gridCol w:w="1328"/>
      </w:tblGrid>
      <w:tr w:rsidR="00D613A6" w:rsidRPr="00D613A6" w14:paraId="5A8ADC7E" w14:textId="77777777" w:rsidTr="00EF0C1E">
        <w:trPr>
          <w:trHeight w:val="295"/>
        </w:trPr>
        <w:tc>
          <w:tcPr>
            <w:tcW w:w="884" w:type="dxa"/>
            <w:vMerge w:val="restart"/>
            <w:tcBorders>
              <w:top w:val="nil"/>
              <w:left w:val="nil"/>
              <w:bottom w:val="single" w:sz="4" w:space="0" w:color="17365D"/>
              <w:right w:val="nil"/>
            </w:tcBorders>
            <w:shd w:val="clear" w:color="auto" w:fill="B9CDE5"/>
            <w:vAlign w:val="center"/>
          </w:tcPr>
          <w:p w14:paraId="619C72D9" w14:textId="2ABFDBB9"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78" w:type="dxa"/>
            <w:vMerge w:val="restart"/>
            <w:tcBorders>
              <w:top w:val="nil"/>
              <w:left w:val="nil"/>
              <w:bottom w:val="single" w:sz="4" w:space="0" w:color="17365D"/>
              <w:right w:val="nil"/>
            </w:tcBorders>
            <w:shd w:val="clear" w:color="auto" w:fill="B9CDE5"/>
            <w:vAlign w:val="center"/>
          </w:tcPr>
          <w:p w14:paraId="49EEDDA7"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Posteņa nosaukums</w:t>
            </w:r>
          </w:p>
        </w:tc>
        <w:tc>
          <w:tcPr>
            <w:tcW w:w="2960" w:type="dxa"/>
            <w:gridSpan w:val="2"/>
            <w:tcBorders>
              <w:top w:val="nil"/>
              <w:left w:val="nil"/>
              <w:bottom w:val="single" w:sz="4" w:space="0" w:color="17365D"/>
              <w:right w:val="nil"/>
            </w:tcBorders>
            <w:shd w:val="clear" w:color="auto" w:fill="B9CDE5"/>
            <w:vAlign w:val="center"/>
          </w:tcPr>
          <w:p w14:paraId="5DCEE94E"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Budžeta izpilde</w:t>
            </w:r>
          </w:p>
        </w:tc>
        <w:tc>
          <w:tcPr>
            <w:tcW w:w="1626" w:type="dxa"/>
            <w:vMerge w:val="restart"/>
            <w:tcBorders>
              <w:top w:val="nil"/>
              <w:left w:val="nil"/>
              <w:bottom w:val="single" w:sz="4" w:space="0" w:color="17365D"/>
              <w:right w:val="nil"/>
            </w:tcBorders>
            <w:shd w:val="clear" w:color="auto" w:fill="B9CDE5"/>
            <w:vAlign w:val="center"/>
          </w:tcPr>
          <w:p w14:paraId="3EA1B700" w14:textId="07EF20F1"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65D93FCF" w14:textId="0F1BD05F"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28" w:type="dxa"/>
            <w:vMerge w:val="restart"/>
            <w:tcBorders>
              <w:top w:val="nil"/>
              <w:left w:val="nil"/>
              <w:bottom w:val="single" w:sz="4" w:space="0" w:color="17365D"/>
              <w:right w:val="nil"/>
            </w:tcBorders>
            <w:shd w:val="clear" w:color="auto" w:fill="B9CDE5"/>
            <w:vAlign w:val="center"/>
          </w:tcPr>
          <w:p w14:paraId="5A71C64F"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Procentuālās izmaiņas</w:t>
            </w:r>
          </w:p>
          <w:p w14:paraId="59D1A3EF" w14:textId="12D35FCD" w:rsidR="00E65C60" w:rsidRPr="00D613A6" w:rsidRDefault="00E65C60"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43E19ADD" w14:textId="77777777" w:rsidTr="00856306">
        <w:trPr>
          <w:trHeight w:val="295"/>
        </w:trPr>
        <w:tc>
          <w:tcPr>
            <w:tcW w:w="884" w:type="dxa"/>
            <w:vMerge/>
            <w:tcBorders>
              <w:top w:val="single" w:sz="4" w:space="0" w:color="17365D"/>
              <w:left w:val="nil"/>
              <w:bottom w:val="nil"/>
              <w:right w:val="nil"/>
            </w:tcBorders>
            <w:vAlign w:val="center"/>
          </w:tcPr>
          <w:p w14:paraId="1C39B15B" w14:textId="77777777" w:rsidR="00E65C60" w:rsidRPr="00D613A6" w:rsidRDefault="00E65C60" w:rsidP="00CE2F1C">
            <w:pPr>
              <w:pStyle w:val="Pamatteksts1"/>
              <w:spacing w:after="0"/>
              <w:ind w:firstLine="0"/>
              <w:jc w:val="center"/>
              <w:rPr>
                <w:color w:val="17365D"/>
                <w:sz w:val="20"/>
                <w:szCs w:val="20"/>
              </w:rPr>
            </w:pPr>
          </w:p>
        </w:tc>
        <w:tc>
          <w:tcPr>
            <w:tcW w:w="2578" w:type="dxa"/>
            <w:vMerge/>
            <w:tcBorders>
              <w:top w:val="single" w:sz="4" w:space="0" w:color="17365D"/>
              <w:left w:val="nil"/>
              <w:bottom w:val="nil"/>
              <w:right w:val="nil"/>
            </w:tcBorders>
            <w:vAlign w:val="center"/>
          </w:tcPr>
          <w:p w14:paraId="6C55B2E4" w14:textId="77777777" w:rsidR="00E65C60" w:rsidRPr="00D613A6" w:rsidRDefault="00E65C60" w:rsidP="00CE2F1C">
            <w:pPr>
              <w:pStyle w:val="Pamatteksts1"/>
              <w:spacing w:after="0"/>
              <w:ind w:firstLine="0"/>
              <w:jc w:val="center"/>
              <w:rPr>
                <w:color w:val="17365D"/>
                <w:sz w:val="20"/>
                <w:szCs w:val="20"/>
              </w:rPr>
            </w:pPr>
          </w:p>
        </w:tc>
        <w:tc>
          <w:tcPr>
            <w:tcW w:w="1480" w:type="dxa"/>
            <w:tcBorders>
              <w:top w:val="single" w:sz="4" w:space="0" w:color="17365D"/>
              <w:left w:val="nil"/>
              <w:bottom w:val="nil"/>
              <w:right w:val="nil"/>
            </w:tcBorders>
            <w:shd w:val="clear" w:color="auto" w:fill="B9CDE5"/>
            <w:vAlign w:val="center"/>
          </w:tcPr>
          <w:p w14:paraId="35A68EB7" w14:textId="77777777" w:rsidR="00E65C60" w:rsidRPr="00D613A6" w:rsidRDefault="00E65C60" w:rsidP="009C3BBA">
            <w:pPr>
              <w:spacing w:before="60" w:after="60"/>
              <w:ind w:firstLine="0"/>
              <w:jc w:val="center"/>
              <w:rPr>
                <w:b/>
                <w:noProof/>
                <w:color w:val="17365D"/>
                <w:sz w:val="20"/>
                <w:szCs w:val="20"/>
              </w:rPr>
            </w:pPr>
            <w:r w:rsidRPr="00D613A6">
              <w:rPr>
                <w:b/>
                <w:noProof/>
                <w:color w:val="17365D"/>
                <w:sz w:val="20"/>
                <w:szCs w:val="20"/>
              </w:rPr>
              <w:t>pārskata periodā</w:t>
            </w:r>
          </w:p>
        </w:tc>
        <w:tc>
          <w:tcPr>
            <w:tcW w:w="1480" w:type="dxa"/>
            <w:tcBorders>
              <w:top w:val="single" w:sz="4" w:space="0" w:color="17365D"/>
              <w:left w:val="nil"/>
              <w:bottom w:val="nil"/>
              <w:right w:val="nil"/>
            </w:tcBorders>
            <w:shd w:val="clear" w:color="auto" w:fill="B9CDE5"/>
            <w:vAlign w:val="center"/>
          </w:tcPr>
          <w:p w14:paraId="51BDD114" w14:textId="77777777" w:rsidR="00E65C60" w:rsidRPr="00D613A6" w:rsidRDefault="00E65C60" w:rsidP="009C3BBA">
            <w:pPr>
              <w:spacing w:before="60" w:after="60"/>
              <w:ind w:firstLine="0"/>
              <w:jc w:val="center"/>
              <w:rPr>
                <w:b/>
                <w:noProof/>
                <w:color w:val="17365D"/>
                <w:sz w:val="20"/>
                <w:szCs w:val="20"/>
              </w:rPr>
            </w:pPr>
            <w:r w:rsidRPr="00D613A6">
              <w:rPr>
                <w:b/>
                <w:color w:val="17365D"/>
                <w:sz w:val="20"/>
                <w:szCs w:val="20"/>
              </w:rPr>
              <w:t>iepriekšējā pārskata periodā</w:t>
            </w:r>
          </w:p>
        </w:tc>
        <w:tc>
          <w:tcPr>
            <w:tcW w:w="1626" w:type="dxa"/>
            <w:vMerge/>
            <w:tcBorders>
              <w:top w:val="single" w:sz="4" w:space="0" w:color="17365D"/>
              <w:left w:val="nil"/>
              <w:bottom w:val="nil"/>
              <w:right w:val="nil"/>
            </w:tcBorders>
            <w:vAlign w:val="center"/>
          </w:tcPr>
          <w:p w14:paraId="7A0ADADB" w14:textId="77777777" w:rsidR="00E65C60" w:rsidRPr="00D613A6" w:rsidRDefault="00E65C60" w:rsidP="004E28A8">
            <w:pPr>
              <w:pStyle w:val="Pamatteksts1"/>
              <w:spacing w:before="60" w:after="60"/>
              <w:ind w:left="-107" w:right="-105" w:firstLine="0"/>
              <w:jc w:val="center"/>
              <w:rPr>
                <w:b/>
                <w:color w:val="17365D"/>
                <w:sz w:val="20"/>
                <w:szCs w:val="20"/>
              </w:rPr>
            </w:pPr>
          </w:p>
        </w:tc>
        <w:tc>
          <w:tcPr>
            <w:tcW w:w="1328" w:type="dxa"/>
            <w:vMerge/>
            <w:tcBorders>
              <w:top w:val="single" w:sz="4" w:space="0" w:color="17365D"/>
              <w:left w:val="nil"/>
              <w:bottom w:val="nil"/>
              <w:right w:val="nil"/>
            </w:tcBorders>
            <w:vAlign w:val="center"/>
          </w:tcPr>
          <w:p w14:paraId="0D7B07A9" w14:textId="77777777" w:rsidR="00E65C60" w:rsidRPr="00D613A6" w:rsidRDefault="00E65C60" w:rsidP="00CE2F1C">
            <w:pPr>
              <w:spacing w:after="0"/>
              <w:ind w:firstLine="0"/>
              <w:jc w:val="center"/>
              <w:rPr>
                <w:color w:val="17365D"/>
                <w:sz w:val="20"/>
                <w:szCs w:val="20"/>
              </w:rPr>
            </w:pPr>
          </w:p>
        </w:tc>
      </w:tr>
      <w:tr w:rsidR="00D613A6" w:rsidRPr="00D613A6" w14:paraId="6A547004" w14:textId="77777777" w:rsidTr="00AE45C4">
        <w:trPr>
          <w:trHeight w:val="295"/>
        </w:trPr>
        <w:tc>
          <w:tcPr>
            <w:tcW w:w="884" w:type="dxa"/>
            <w:tcBorders>
              <w:top w:val="nil"/>
              <w:left w:val="nil"/>
              <w:bottom w:val="single" w:sz="4" w:space="0" w:color="17365D"/>
              <w:right w:val="nil"/>
            </w:tcBorders>
            <w:vAlign w:val="center"/>
          </w:tcPr>
          <w:p w14:paraId="40FEDA2A" w14:textId="77777777"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A</w:t>
            </w:r>
          </w:p>
        </w:tc>
        <w:tc>
          <w:tcPr>
            <w:tcW w:w="2578" w:type="dxa"/>
            <w:tcBorders>
              <w:top w:val="nil"/>
              <w:left w:val="nil"/>
              <w:bottom w:val="single" w:sz="4" w:space="0" w:color="17365D"/>
              <w:right w:val="nil"/>
            </w:tcBorders>
            <w:vAlign w:val="center"/>
          </w:tcPr>
          <w:p w14:paraId="0C045AD9" w14:textId="77777777"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B</w:t>
            </w:r>
          </w:p>
        </w:tc>
        <w:tc>
          <w:tcPr>
            <w:tcW w:w="1480" w:type="dxa"/>
            <w:tcBorders>
              <w:top w:val="nil"/>
              <w:left w:val="nil"/>
              <w:bottom w:val="single" w:sz="4" w:space="0" w:color="17365D"/>
              <w:right w:val="nil"/>
            </w:tcBorders>
            <w:vAlign w:val="center"/>
          </w:tcPr>
          <w:p w14:paraId="10D1213B" w14:textId="31863C04"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1</w:t>
            </w:r>
          </w:p>
        </w:tc>
        <w:tc>
          <w:tcPr>
            <w:tcW w:w="1480" w:type="dxa"/>
            <w:tcBorders>
              <w:top w:val="nil"/>
              <w:left w:val="nil"/>
              <w:bottom w:val="single" w:sz="4" w:space="0" w:color="17365D"/>
              <w:right w:val="nil"/>
            </w:tcBorders>
            <w:vAlign w:val="center"/>
          </w:tcPr>
          <w:p w14:paraId="41F489B5" w14:textId="1562BE80"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2</w:t>
            </w:r>
          </w:p>
        </w:tc>
        <w:tc>
          <w:tcPr>
            <w:tcW w:w="1626" w:type="dxa"/>
            <w:tcBorders>
              <w:top w:val="nil"/>
              <w:left w:val="nil"/>
              <w:bottom w:val="single" w:sz="4" w:space="0" w:color="17365D"/>
              <w:right w:val="nil"/>
            </w:tcBorders>
            <w:vAlign w:val="center"/>
          </w:tcPr>
          <w:p w14:paraId="5D53C436" w14:textId="408C95BF"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8" w:type="dxa"/>
            <w:tcBorders>
              <w:top w:val="nil"/>
              <w:left w:val="nil"/>
              <w:bottom w:val="single" w:sz="4" w:space="0" w:color="17365D"/>
              <w:right w:val="nil"/>
            </w:tcBorders>
            <w:vAlign w:val="center"/>
          </w:tcPr>
          <w:p w14:paraId="719B3530" w14:textId="5031206D"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1EF78E0C" w14:textId="77777777" w:rsidTr="00856306">
        <w:trPr>
          <w:trHeight w:val="295"/>
        </w:trPr>
        <w:tc>
          <w:tcPr>
            <w:tcW w:w="884" w:type="dxa"/>
            <w:tcBorders>
              <w:top w:val="single" w:sz="4" w:space="0" w:color="17365D"/>
              <w:left w:val="nil"/>
              <w:bottom w:val="single" w:sz="4" w:space="0" w:color="17365D"/>
              <w:right w:val="nil"/>
            </w:tcBorders>
            <w:vAlign w:val="center"/>
          </w:tcPr>
          <w:p w14:paraId="445A33C7" w14:textId="7D55872E" w:rsidR="004852DF" w:rsidRPr="00D613A6" w:rsidRDefault="004852DF" w:rsidP="004852DF">
            <w:pPr>
              <w:spacing w:before="40" w:after="40"/>
              <w:ind w:firstLine="0"/>
              <w:jc w:val="left"/>
              <w:rPr>
                <w:b/>
                <w:bCs/>
                <w:color w:val="17365D"/>
                <w:sz w:val="20"/>
                <w:szCs w:val="20"/>
              </w:rPr>
            </w:pPr>
            <w:r w:rsidRPr="00D613A6">
              <w:rPr>
                <w:b/>
                <w:bCs/>
                <w:color w:val="17365D"/>
                <w:sz w:val="20"/>
                <w:szCs w:val="20"/>
              </w:rPr>
              <w:t>I.</w:t>
            </w:r>
          </w:p>
        </w:tc>
        <w:tc>
          <w:tcPr>
            <w:tcW w:w="2578" w:type="dxa"/>
            <w:tcBorders>
              <w:top w:val="single" w:sz="4" w:space="0" w:color="17365D"/>
              <w:left w:val="nil"/>
              <w:bottom w:val="single" w:sz="4" w:space="0" w:color="17365D"/>
              <w:right w:val="nil"/>
            </w:tcBorders>
            <w:shd w:val="clear" w:color="auto" w:fill="auto"/>
            <w:vAlign w:val="center"/>
          </w:tcPr>
          <w:p w14:paraId="53812977" w14:textId="77777777" w:rsidR="004852DF" w:rsidRPr="00D613A6" w:rsidRDefault="004852DF" w:rsidP="004852DF">
            <w:pPr>
              <w:pStyle w:val="Pamatteksts1"/>
              <w:spacing w:before="40" w:after="40"/>
              <w:ind w:firstLine="0"/>
              <w:rPr>
                <w:b/>
                <w:color w:val="17365D"/>
                <w:sz w:val="20"/>
                <w:szCs w:val="20"/>
              </w:rPr>
            </w:pPr>
            <w:r w:rsidRPr="00D613A6">
              <w:rPr>
                <w:b/>
                <w:bCs/>
                <w:color w:val="17365D"/>
                <w:sz w:val="20"/>
                <w:szCs w:val="20"/>
              </w:rPr>
              <w:t>IEŅĒMUMI KOPĀ</w:t>
            </w:r>
          </w:p>
        </w:tc>
        <w:tc>
          <w:tcPr>
            <w:tcW w:w="1480" w:type="dxa"/>
            <w:tcBorders>
              <w:top w:val="single" w:sz="4" w:space="0" w:color="17365D"/>
              <w:left w:val="nil"/>
              <w:bottom w:val="single" w:sz="4" w:space="0" w:color="17365D"/>
              <w:right w:val="nil"/>
            </w:tcBorders>
            <w:shd w:val="clear" w:color="000000" w:fill="FFFFFF"/>
            <w:vAlign w:val="center"/>
          </w:tcPr>
          <w:p w14:paraId="7B37611B" w14:textId="0D6EC5C2" w:rsidR="004852DF" w:rsidRPr="00D613A6" w:rsidRDefault="004852DF" w:rsidP="005F1F4E">
            <w:pPr>
              <w:pStyle w:val="Pamatteksts1"/>
              <w:spacing w:before="40" w:after="40"/>
              <w:ind w:firstLine="0"/>
              <w:jc w:val="right"/>
              <w:rPr>
                <w:b/>
                <w:color w:val="17365D"/>
                <w:sz w:val="20"/>
                <w:szCs w:val="20"/>
              </w:rPr>
            </w:pPr>
            <w:r w:rsidRPr="00D613A6">
              <w:rPr>
                <w:b/>
                <w:color w:val="17365D"/>
                <w:sz w:val="20"/>
                <w:szCs w:val="20"/>
              </w:rPr>
              <w:t xml:space="preserve">661 </w:t>
            </w:r>
            <w:r w:rsidR="005F1F4E" w:rsidRPr="00D613A6">
              <w:rPr>
                <w:b/>
                <w:color w:val="17365D"/>
                <w:sz w:val="20"/>
                <w:szCs w:val="20"/>
              </w:rPr>
              <w:t>116</w:t>
            </w:r>
            <w:r w:rsidRPr="00D613A6">
              <w:rPr>
                <w:b/>
                <w:color w:val="17365D"/>
                <w:sz w:val="20"/>
                <w:szCs w:val="20"/>
              </w:rPr>
              <w:t xml:space="preserve"> 3</w:t>
            </w:r>
            <w:r w:rsidR="005F1F4E" w:rsidRPr="00D613A6">
              <w:rPr>
                <w:b/>
                <w:color w:val="17365D"/>
                <w:sz w:val="20"/>
                <w:szCs w:val="20"/>
              </w:rPr>
              <w:t>85</w:t>
            </w:r>
          </w:p>
        </w:tc>
        <w:tc>
          <w:tcPr>
            <w:tcW w:w="1480" w:type="dxa"/>
            <w:tcBorders>
              <w:top w:val="single" w:sz="4" w:space="0" w:color="17365D"/>
              <w:left w:val="nil"/>
              <w:bottom w:val="single" w:sz="4" w:space="0" w:color="17365D"/>
              <w:right w:val="nil"/>
            </w:tcBorders>
            <w:shd w:val="clear" w:color="auto" w:fill="auto"/>
            <w:vAlign w:val="center"/>
          </w:tcPr>
          <w:p w14:paraId="169534DC" w14:textId="49FDFC13" w:rsidR="004852DF" w:rsidRPr="00D613A6" w:rsidRDefault="004852DF" w:rsidP="004852DF">
            <w:pPr>
              <w:pStyle w:val="Pamatteksts1"/>
              <w:spacing w:before="40" w:after="40"/>
              <w:ind w:firstLine="0"/>
              <w:jc w:val="right"/>
              <w:rPr>
                <w:b/>
                <w:color w:val="17365D"/>
                <w:sz w:val="20"/>
                <w:szCs w:val="20"/>
              </w:rPr>
            </w:pPr>
            <w:r w:rsidRPr="00D613A6">
              <w:rPr>
                <w:b/>
                <w:color w:val="17365D"/>
                <w:sz w:val="20"/>
                <w:szCs w:val="20"/>
              </w:rPr>
              <w:t>602 712 320</w:t>
            </w:r>
          </w:p>
        </w:tc>
        <w:tc>
          <w:tcPr>
            <w:tcW w:w="1626" w:type="dxa"/>
            <w:tcBorders>
              <w:top w:val="single" w:sz="4" w:space="0" w:color="17365D"/>
              <w:left w:val="nil"/>
              <w:bottom w:val="single" w:sz="4" w:space="0" w:color="17365D"/>
              <w:right w:val="nil"/>
            </w:tcBorders>
            <w:shd w:val="clear" w:color="auto" w:fill="auto"/>
            <w:vAlign w:val="center"/>
          </w:tcPr>
          <w:p w14:paraId="75198CB3" w14:textId="4BE63C37" w:rsidR="004852DF" w:rsidRPr="00D613A6" w:rsidRDefault="005F1F4E" w:rsidP="005F1F4E">
            <w:pPr>
              <w:pStyle w:val="Pamatteksts1"/>
              <w:spacing w:before="60" w:after="60"/>
              <w:ind w:left="-107" w:right="-105" w:firstLine="0"/>
              <w:jc w:val="right"/>
              <w:rPr>
                <w:b/>
                <w:color w:val="17365D"/>
                <w:sz w:val="20"/>
                <w:szCs w:val="20"/>
              </w:rPr>
            </w:pPr>
            <w:r w:rsidRPr="00D613A6">
              <w:rPr>
                <w:b/>
                <w:color w:val="17365D"/>
                <w:sz w:val="20"/>
                <w:szCs w:val="20"/>
              </w:rPr>
              <w:t>58</w:t>
            </w:r>
            <w:r w:rsidR="004852DF" w:rsidRPr="00D613A6">
              <w:rPr>
                <w:b/>
                <w:color w:val="17365D"/>
                <w:sz w:val="20"/>
                <w:szCs w:val="20"/>
              </w:rPr>
              <w:t xml:space="preserve"> </w:t>
            </w:r>
            <w:r w:rsidRPr="00D613A6">
              <w:rPr>
                <w:b/>
                <w:color w:val="17365D"/>
                <w:sz w:val="20"/>
                <w:szCs w:val="20"/>
              </w:rPr>
              <w:t>404</w:t>
            </w:r>
            <w:r w:rsidR="004852DF" w:rsidRPr="00D613A6">
              <w:rPr>
                <w:b/>
                <w:color w:val="17365D"/>
                <w:sz w:val="20"/>
                <w:szCs w:val="20"/>
              </w:rPr>
              <w:t xml:space="preserve"> </w:t>
            </w:r>
            <w:r w:rsidRPr="00D613A6">
              <w:rPr>
                <w:b/>
                <w:color w:val="17365D"/>
                <w:sz w:val="20"/>
                <w:szCs w:val="20"/>
              </w:rPr>
              <w:t>065</w:t>
            </w:r>
          </w:p>
        </w:tc>
        <w:tc>
          <w:tcPr>
            <w:tcW w:w="1328" w:type="dxa"/>
            <w:tcBorders>
              <w:top w:val="single" w:sz="4" w:space="0" w:color="17365D"/>
              <w:left w:val="nil"/>
              <w:bottom w:val="single" w:sz="4" w:space="0" w:color="17365D"/>
              <w:right w:val="nil"/>
            </w:tcBorders>
            <w:shd w:val="clear" w:color="auto" w:fill="auto"/>
            <w:vAlign w:val="center"/>
          </w:tcPr>
          <w:p w14:paraId="70379261" w14:textId="44203708" w:rsidR="004852DF" w:rsidRPr="00D613A6" w:rsidRDefault="005F1F4E" w:rsidP="005F1F4E">
            <w:pPr>
              <w:pStyle w:val="Pamatteksts1"/>
              <w:spacing w:before="40" w:after="40"/>
              <w:ind w:firstLine="0"/>
              <w:jc w:val="right"/>
              <w:rPr>
                <w:b/>
                <w:color w:val="17365D"/>
                <w:sz w:val="20"/>
                <w:szCs w:val="20"/>
              </w:rPr>
            </w:pPr>
            <w:r w:rsidRPr="00D613A6">
              <w:rPr>
                <w:b/>
                <w:color w:val="17365D"/>
                <w:sz w:val="20"/>
                <w:szCs w:val="20"/>
              </w:rPr>
              <w:t>9</w:t>
            </w:r>
            <w:r w:rsidR="004852DF" w:rsidRPr="00D613A6">
              <w:rPr>
                <w:b/>
                <w:color w:val="17365D"/>
                <w:sz w:val="20"/>
                <w:szCs w:val="20"/>
              </w:rPr>
              <w:t>.</w:t>
            </w:r>
            <w:r w:rsidRPr="00D613A6">
              <w:rPr>
                <w:b/>
                <w:color w:val="17365D"/>
                <w:sz w:val="20"/>
                <w:szCs w:val="20"/>
              </w:rPr>
              <w:t>69</w:t>
            </w:r>
          </w:p>
        </w:tc>
      </w:tr>
      <w:tr w:rsidR="00D613A6" w:rsidRPr="00D613A6" w14:paraId="4EFBB9BD" w14:textId="77777777" w:rsidTr="00856306">
        <w:trPr>
          <w:trHeight w:val="295"/>
        </w:trPr>
        <w:tc>
          <w:tcPr>
            <w:tcW w:w="884" w:type="dxa"/>
            <w:tcBorders>
              <w:top w:val="single" w:sz="4" w:space="0" w:color="17365D"/>
              <w:left w:val="nil"/>
              <w:bottom w:val="single" w:sz="4" w:space="0" w:color="17365D"/>
              <w:right w:val="nil"/>
            </w:tcBorders>
            <w:vAlign w:val="center"/>
          </w:tcPr>
          <w:p w14:paraId="7371EFD8"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3.0.</w:t>
            </w:r>
          </w:p>
        </w:tc>
        <w:tc>
          <w:tcPr>
            <w:tcW w:w="2578" w:type="dxa"/>
            <w:tcBorders>
              <w:top w:val="single" w:sz="4" w:space="0" w:color="17365D"/>
              <w:left w:val="nil"/>
              <w:bottom w:val="single" w:sz="4" w:space="0" w:color="17365D"/>
              <w:right w:val="nil"/>
            </w:tcBorders>
            <w:shd w:val="clear" w:color="auto" w:fill="auto"/>
            <w:vAlign w:val="center"/>
          </w:tcPr>
          <w:p w14:paraId="750B1CC4" w14:textId="77777777" w:rsidR="004852DF" w:rsidRPr="00D613A6" w:rsidRDefault="004852DF" w:rsidP="004852DF">
            <w:pPr>
              <w:pStyle w:val="Pamatteksts1"/>
              <w:spacing w:before="40" w:after="40"/>
              <w:ind w:firstLine="0"/>
              <w:rPr>
                <w:color w:val="17365D"/>
                <w:sz w:val="20"/>
                <w:szCs w:val="20"/>
              </w:rPr>
            </w:pPr>
            <w:r w:rsidRPr="00D613A6">
              <w:rPr>
                <w:bCs/>
                <w:color w:val="17365D"/>
                <w:sz w:val="20"/>
                <w:szCs w:val="20"/>
              </w:rPr>
              <w:t>Maksas pakalpojumi un citi pašu ieņēmumi</w:t>
            </w:r>
          </w:p>
        </w:tc>
        <w:tc>
          <w:tcPr>
            <w:tcW w:w="1480" w:type="dxa"/>
            <w:tcBorders>
              <w:top w:val="single" w:sz="4" w:space="0" w:color="17365D"/>
              <w:left w:val="nil"/>
              <w:bottom w:val="single" w:sz="4" w:space="0" w:color="17365D"/>
              <w:right w:val="nil"/>
            </w:tcBorders>
            <w:shd w:val="clear" w:color="000000" w:fill="FFFFFF"/>
            <w:vAlign w:val="center"/>
          </w:tcPr>
          <w:p w14:paraId="1D2ABE6C" w14:textId="0A515CA8" w:rsidR="004852DF" w:rsidRPr="00D613A6" w:rsidRDefault="004852DF" w:rsidP="005F1F4E">
            <w:pPr>
              <w:pStyle w:val="Pamatteksts1"/>
              <w:spacing w:before="40" w:after="40"/>
              <w:ind w:firstLine="0"/>
              <w:jc w:val="right"/>
              <w:rPr>
                <w:color w:val="17365D"/>
                <w:sz w:val="20"/>
                <w:szCs w:val="20"/>
              </w:rPr>
            </w:pPr>
            <w:r w:rsidRPr="00D613A6">
              <w:rPr>
                <w:color w:val="17365D"/>
                <w:sz w:val="20"/>
                <w:szCs w:val="20"/>
              </w:rPr>
              <w:t>1</w:t>
            </w:r>
            <w:r w:rsidR="005F1F4E" w:rsidRPr="00D613A6">
              <w:rPr>
                <w:color w:val="17365D"/>
                <w:sz w:val="20"/>
                <w:szCs w:val="20"/>
              </w:rPr>
              <w:t>80</w:t>
            </w:r>
            <w:r w:rsidRPr="00D613A6">
              <w:rPr>
                <w:color w:val="17365D"/>
                <w:sz w:val="20"/>
                <w:szCs w:val="20"/>
              </w:rPr>
              <w:t xml:space="preserve"> </w:t>
            </w:r>
            <w:r w:rsidR="005F1F4E" w:rsidRPr="00D613A6">
              <w:rPr>
                <w:color w:val="17365D"/>
                <w:sz w:val="20"/>
                <w:szCs w:val="20"/>
              </w:rPr>
              <w:t>092</w:t>
            </w:r>
            <w:r w:rsidRPr="00D613A6">
              <w:rPr>
                <w:color w:val="17365D"/>
                <w:sz w:val="20"/>
                <w:szCs w:val="20"/>
              </w:rPr>
              <w:t xml:space="preserve"> </w:t>
            </w:r>
            <w:r w:rsidR="005F1F4E" w:rsidRPr="00D613A6">
              <w:rPr>
                <w:color w:val="17365D"/>
                <w:sz w:val="20"/>
                <w:szCs w:val="20"/>
              </w:rPr>
              <w:t>910</w:t>
            </w:r>
          </w:p>
        </w:tc>
        <w:tc>
          <w:tcPr>
            <w:tcW w:w="1480" w:type="dxa"/>
            <w:tcBorders>
              <w:top w:val="single" w:sz="4" w:space="0" w:color="17365D"/>
              <w:left w:val="nil"/>
              <w:bottom w:val="single" w:sz="4" w:space="0" w:color="17365D"/>
              <w:right w:val="nil"/>
            </w:tcBorders>
            <w:shd w:val="clear" w:color="auto" w:fill="auto"/>
            <w:vAlign w:val="center"/>
          </w:tcPr>
          <w:p w14:paraId="0BD8014A" w14:textId="61B7881A"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178 863 075</w:t>
            </w:r>
          </w:p>
        </w:tc>
        <w:tc>
          <w:tcPr>
            <w:tcW w:w="1626" w:type="dxa"/>
            <w:tcBorders>
              <w:top w:val="single" w:sz="4" w:space="0" w:color="17365D"/>
              <w:left w:val="nil"/>
              <w:bottom w:val="single" w:sz="4" w:space="0" w:color="17365D"/>
              <w:right w:val="nil"/>
            </w:tcBorders>
            <w:shd w:val="clear" w:color="auto" w:fill="auto"/>
            <w:vAlign w:val="center"/>
          </w:tcPr>
          <w:p w14:paraId="78B6355E" w14:textId="443B0A68" w:rsidR="004852DF" w:rsidRPr="00D613A6" w:rsidRDefault="004852DF" w:rsidP="005F1F4E">
            <w:pPr>
              <w:pStyle w:val="Pamatteksts1"/>
              <w:spacing w:before="60" w:after="60"/>
              <w:ind w:left="-107" w:right="-105" w:firstLine="0"/>
              <w:jc w:val="right"/>
              <w:rPr>
                <w:color w:val="17365D"/>
                <w:sz w:val="20"/>
                <w:szCs w:val="20"/>
              </w:rPr>
            </w:pPr>
            <w:r w:rsidRPr="00D613A6">
              <w:rPr>
                <w:color w:val="17365D"/>
                <w:sz w:val="20"/>
                <w:szCs w:val="20"/>
              </w:rPr>
              <w:t xml:space="preserve">1 </w:t>
            </w:r>
            <w:r w:rsidR="005F1F4E" w:rsidRPr="00D613A6">
              <w:rPr>
                <w:color w:val="17365D"/>
                <w:sz w:val="20"/>
                <w:szCs w:val="20"/>
              </w:rPr>
              <w:t>229</w:t>
            </w:r>
            <w:r w:rsidRPr="00D613A6">
              <w:rPr>
                <w:color w:val="17365D"/>
                <w:sz w:val="20"/>
                <w:szCs w:val="20"/>
              </w:rPr>
              <w:t xml:space="preserve"> </w:t>
            </w:r>
            <w:r w:rsidR="005F1F4E" w:rsidRPr="00D613A6">
              <w:rPr>
                <w:color w:val="17365D"/>
                <w:sz w:val="20"/>
                <w:szCs w:val="20"/>
              </w:rPr>
              <w:t>835</w:t>
            </w:r>
          </w:p>
        </w:tc>
        <w:tc>
          <w:tcPr>
            <w:tcW w:w="1328" w:type="dxa"/>
            <w:tcBorders>
              <w:top w:val="single" w:sz="4" w:space="0" w:color="17365D"/>
              <w:left w:val="nil"/>
              <w:bottom w:val="single" w:sz="4" w:space="0" w:color="17365D"/>
              <w:right w:val="nil"/>
            </w:tcBorders>
            <w:shd w:val="clear" w:color="auto" w:fill="auto"/>
            <w:vAlign w:val="center"/>
          </w:tcPr>
          <w:p w14:paraId="012A4DEA" w14:textId="21B6518F"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0</w:t>
            </w:r>
            <w:r w:rsidR="004852DF" w:rsidRPr="00D613A6">
              <w:rPr>
                <w:color w:val="17365D"/>
                <w:sz w:val="20"/>
                <w:szCs w:val="20"/>
              </w:rPr>
              <w:t>.</w:t>
            </w:r>
            <w:r w:rsidRPr="00D613A6">
              <w:rPr>
                <w:color w:val="17365D"/>
                <w:sz w:val="20"/>
                <w:szCs w:val="20"/>
              </w:rPr>
              <w:t>69</w:t>
            </w:r>
          </w:p>
        </w:tc>
      </w:tr>
      <w:tr w:rsidR="00D613A6" w:rsidRPr="00D613A6" w14:paraId="26FC907C" w14:textId="77777777" w:rsidTr="00856306">
        <w:trPr>
          <w:trHeight w:val="295"/>
        </w:trPr>
        <w:tc>
          <w:tcPr>
            <w:tcW w:w="884" w:type="dxa"/>
            <w:tcBorders>
              <w:top w:val="single" w:sz="4" w:space="0" w:color="17365D"/>
              <w:left w:val="nil"/>
              <w:bottom w:val="single" w:sz="4" w:space="0" w:color="17365D"/>
              <w:right w:val="nil"/>
            </w:tcBorders>
            <w:vAlign w:val="center"/>
          </w:tcPr>
          <w:p w14:paraId="2A115630"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4.0.</w:t>
            </w:r>
          </w:p>
        </w:tc>
        <w:tc>
          <w:tcPr>
            <w:tcW w:w="2578" w:type="dxa"/>
            <w:tcBorders>
              <w:top w:val="single" w:sz="4" w:space="0" w:color="17365D"/>
              <w:left w:val="nil"/>
              <w:bottom w:val="single" w:sz="4" w:space="0" w:color="17365D"/>
              <w:right w:val="nil"/>
            </w:tcBorders>
            <w:shd w:val="clear" w:color="auto" w:fill="auto"/>
            <w:vAlign w:val="center"/>
          </w:tcPr>
          <w:p w14:paraId="76243C29" w14:textId="77777777" w:rsidR="004852DF" w:rsidRPr="00D613A6" w:rsidRDefault="004852DF" w:rsidP="004852DF">
            <w:pPr>
              <w:pStyle w:val="Pamatteksts1"/>
              <w:spacing w:before="40" w:after="40"/>
              <w:ind w:firstLine="0"/>
              <w:rPr>
                <w:bCs/>
                <w:color w:val="17365D"/>
                <w:sz w:val="20"/>
                <w:szCs w:val="20"/>
              </w:rPr>
            </w:pPr>
            <w:r w:rsidRPr="00D613A6">
              <w:rPr>
                <w:bCs/>
                <w:color w:val="17365D"/>
                <w:sz w:val="20"/>
                <w:szCs w:val="20"/>
              </w:rPr>
              <w:t>Ārvalstu finanšu palīdzība</w:t>
            </w:r>
            <w:r w:rsidRPr="00D613A6">
              <w:rPr>
                <w:bCs/>
                <w:color w:val="17365D"/>
                <w:sz w:val="20"/>
                <w:szCs w:val="20"/>
              </w:rPr>
              <w:tab/>
            </w:r>
          </w:p>
        </w:tc>
        <w:tc>
          <w:tcPr>
            <w:tcW w:w="1480" w:type="dxa"/>
            <w:tcBorders>
              <w:top w:val="single" w:sz="4" w:space="0" w:color="17365D"/>
              <w:left w:val="nil"/>
              <w:bottom w:val="single" w:sz="4" w:space="0" w:color="17365D"/>
              <w:right w:val="nil"/>
            </w:tcBorders>
            <w:shd w:val="clear" w:color="000000" w:fill="FFFFFF"/>
            <w:vAlign w:val="center"/>
          </w:tcPr>
          <w:p w14:paraId="767F2E5F" w14:textId="18AE3D22"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51</w:t>
            </w:r>
            <w:r w:rsidR="004852DF" w:rsidRPr="00D613A6">
              <w:rPr>
                <w:color w:val="17365D"/>
                <w:sz w:val="20"/>
                <w:szCs w:val="20"/>
              </w:rPr>
              <w:t xml:space="preserve"> </w:t>
            </w:r>
            <w:r w:rsidRPr="00D613A6">
              <w:rPr>
                <w:color w:val="17365D"/>
                <w:sz w:val="20"/>
                <w:szCs w:val="20"/>
              </w:rPr>
              <w:t>860</w:t>
            </w:r>
            <w:r w:rsidR="004852DF" w:rsidRPr="00D613A6">
              <w:rPr>
                <w:color w:val="17365D"/>
                <w:sz w:val="20"/>
                <w:szCs w:val="20"/>
              </w:rPr>
              <w:t xml:space="preserve"> </w:t>
            </w:r>
            <w:r w:rsidRPr="00D613A6">
              <w:rPr>
                <w:color w:val="17365D"/>
                <w:sz w:val="20"/>
                <w:szCs w:val="20"/>
              </w:rPr>
              <w:t>191</w:t>
            </w:r>
          </w:p>
        </w:tc>
        <w:tc>
          <w:tcPr>
            <w:tcW w:w="1480" w:type="dxa"/>
            <w:tcBorders>
              <w:top w:val="single" w:sz="4" w:space="0" w:color="17365D"/>
              <w:left w:val="nil"/>
              <w:bottom w:val="single" w:sz="4" w:space="0" w:color="17365D"/>
              <w:right w:val="nil"/>
            </w:tcBorders>
            <w:shd w:val="clear" w:color="auto" w:fill="auto"/>
            <w:vAlign w:val="center"/>
          </w:tcPr>
          <w:p w14:paraId="0822E2FC" w14:textId="1F84309D"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37 106 197</w:t>
            </w:r>
          </w:p>
        </w:tc>
        <w:tc>
          <w:tcPr>
            <w:tcW w:w="1626" w:type="dxa"/>
            <w:tcBorders>
              <w:top w:val="single" w:sz="4" w:space="0" w:color="17365D"/>
              <w:left w:val="nil"/>
              <w:bottom w:val="single" w:sz="4" w:space="0" w:color="17365D"/>
              <w:right w:val="nil"/>
            </w:tcBorders>
            <w:shd w:val="clear" w:color="auto" w:fill="auto"/>
            <w:vAlign w:val="center"/>
          </w:tcPr>
          <w:p w14:paraId="3D6A8363" w14:textId="6829CDFC" w:rsidR="004852DF" w:rsidRPr="00D613A6" w:rsidRDefault="004852DF" w:rsidP="005F1F4E">
            <w:pPr>
              <w:pStyle w:val="Pamatteksts1"/>
              <w:spacing w:before="60" w:after="60"/>
              <w:ind w:left="-107" w:right="-105" w:firstLine="0"/>
              <w:jc w:val="right"/>
              <w:rPr>
                <w:color w:val="17365D"/>
                <w:sz w:val="20"/>
                <w:szCs w:val="20"/>
              </w:rPr>
            </w:pPr>
            <w:r w:rsidRPr="00D613A6">
              <w:rPr>
                <w:color w:val="17365D"/>
                <w:sz w:val="20"/>
                <w:szCs w:val="20"/>
              </w:rPr>
              <w:t>1</w:t>
            </w:r>
            <w:r w:rsidR="005F1F4E" w:rsidRPr="00D613A6">
              <w:rPr>
                <w:color w:val="17365D"/>
                <w:sz w:val="20"/>
                <w:szCs w:val="20"/>
              </w:rPr>
              <w:t>4</w:t>
            </w:r>
            <w:r w:rsidRPr="00D613A6">
              <w:rPr>
                <w:color w:val="17365D"/>
                <w:sz w:val="20"/>
                <w:szCs w:val="20"/>
              </w:rPr>
              <w:t xml:space="preserve"> </w:t>
            </w:r>
            <w:r w:rsidR="005F1F4E" w:rsidRPr="00D613A6">
              <w:rPr>
                <w:color w:val="17365D"/>
                <w:sz w:val="20"/>
                <w:szCs w:val="20"/>
              </w:rPr>
              <w:t>753</w:t>
            </w:r>
            <w:r w:rsidRPr="00D613A6">
              <w:rPr>
                <w:color w:val="17365D"/>
                <w:sz w:val="20"/>
                <w:szCs w:val="20"/>
              </w:rPr>
              <w:t xml:space="preserve"> </w:t>
            </w:r>
            <w:r w:rsidR="005F1F4E" w:rsidRPr="00D613A6">
              <w:rPr>
                <w:color w:val="17365D"/>
                <w:sz w:val="20"/>
                <w:szCs w:val="20"/>
              </w:rPr>
              <w:t>994</w:t>
            </w:r>
          </w:p>
        </w:tc>
        <w:tc>
          <w:tcPr>
            <w:tcW w:w="1328" w:type="dxa"/>
            <w:tcBorders>
              <w:top w:val="single" w:sz="4" w:space="0" w:color="17365D"/>
              <w:left w:val="nil"/>
              <w:bottom w:val="single" w:sz="4" w:space="0" w:color="17365D"/>
              <w:right w:val="nil"/>
            </w:tcBorders>
            <w:shd w:val="clear" w:color="auto" w:fill="auto"/>
            <w:vAlign w:val="center"/>
          </w:tcPr>
          <w:p w14:paraId="3A3F3C64" w14:textId="29FD3BD9"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39</w:t>
            </w:r>
            <w:r w:rsidR="004852DF" w:rsidRPr="00D613A6">
              <w:rPr>
                <w:color w:val="17365D"/>
                <w:sz w:val="20"/>
                <w:szCs w:val="20"/>
              </w:rPr>
              <w:t>.</w:t>
            </w:r>
            <w:r w:rsidRPr="00D613A6">
              <w:rPr>
                <w:color w:val="17365D"/>
                <w:sz w:val="20"/>
                <w:szCs w:val="20"/>
              </w:rPr>
              <w:t>76</w:t>
            </w:r>
          </w:p>
        </w:tc>
      </w:tr>
      <w:tr w:rsidR="00D613A6" w:rsidRPr="00D613A6" w14:paraId="543B8B79" w14:textId="77777777" w:rsidTr="00856306">
        <w:trPr>
          <w:trHeight w:val="295"/>
        </w:trPr>
        <w:tc>
          <w:tcPr>
            <w:tcW w:w="884" w:type="dxa"/>
            <w:tcBorders>
              <w:top w:val="single" w:sz="4" w:space="0" w:color="17365D"/>
              <w:left w:val="nil"/>
              <w:bottom w:val="nil"/>
              <w:right w:val="nil"/>
            </w:tcBorders>
            <w:vAlign w:val="center"/>
          </w:tcPr>
          <w:p w14:paraId="423FBBD0"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5.0.</w:t>
            </w:r>
          </w:p>
        </w:tc>
        <w:tc>
          <w:tcPr>
            <w:tcW w:w="2578" w:type="dxa"/>
            <w:tcBorders>
              <w:top w:val="single" w:sz="4" w:space="0" w:color="17365D"/>
              <w:left w:val="nil"/>
              <w:bottom w:val="nil"/>
              <w:right w:val="nil"/>
            </w:tcBorders>
            <w:shd w:val="clear" w:color="auto" w:fill="auto"/>
            <w:vAlign w:val="center"/>
          </w:tcPr>
          <w:p w14:paraId="22150171" w14:textId="77777777" w:rsidR="004852DF" w:rsidRPr="00D613A6" w:rsidRDefault="004852DF" w:rsidP="004852DF">
            <w:pPr>
              <w:pStyle w:val="Pamatteksts1"/>
              <w:spacing w:before="40" w:after="40"/>
              <w:ind w:firstLine="0"/>
              <w:rPr>
                <w:color w:val="17365D"/>
                <w:sz w:val="20"/>
                <w:szCs w:val="20"/>
              </w:rPr>
            </w:pPr>
            <w:r w:rsidRPr="00D613A6">
              <w:rPr>
                <w:bCs/>
                <w:color w:val="17365D"/>
                <w:sz w:val="20"/>
                <w:szCs w:val="20"/>
              </w:rPr>
              <w:t>Transferti</w:t>
            </w:r>
          </w:p>
        </w:tc>
        <w:tc>
          <w:tcPr>
            <w:tcW w:w="1480" w:type="dxa"/>
            <w:tcBorders>
              <w:top w:val="single" w:sz="4" w:space="0" w:color="17365D"/>
              <w:left w:val="nil"/>
              <w:bottom w:val="nil"/>
              <w:right w:val="nil"/>
            </w:tcBorders>
            <w:shd w:val="clear" w:color="000000" w:fill="FFFFFF"/>
            <w:vAlign w:val="center"/>
          </w:tcPr>
          <w:p w14:paraId="6249FCE4" w14:textId="34BE6A8D"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429</w:t>
            </w:r>
            <w:r w:rsidR="004852DF" w:rsidRPr="00D613A6">
              <w:rPr>
                <w:color w:val="17365D"/>
                <w:sz w:val="20"/>
                <w:szCs w:val="20"/>
              </w:rPr>
              <w:t xml:space="preserve"> </w:t>
            </w:r>
            <w:r w:rsidRPr="00D613A6">
              <w:rPr>
                <w:color w:val="17365D"/>
                <w:sz w:val="20"/>
                <w:szCs w:val="20"/>
              </w:rPr>
              <w:t>163</w:t>
            </w:r>
            <w:r w:rsidR="004852DF" w:rsidRPr="00D613A6">
              <w:rPr>
                <w:color w:val="17365D"/>
                <w:sz w:val="20"/>
                <w:szCs w:val="20"/>
              </w:rPr>
              <w:t xml:space="preserve"> </w:t>
            </w:r>
            <w:r w:rsidRPr="00D613A6">
              <w:rPr>
                <w:color w:val="17365D"/>
                <w:sz w:val="20"/>
                <w:szCs w:val="20"/>
              </w:rPr>
              <w:t>284</w:t>
            </w:r>
          </w:p>
        </w:tc>
        <w:tc>
          <w:tcPr>
            <w:tcW w:w="1480" w:type="dxa"/>
            <w:tcBorders>
              <w:top w:val="single" w:sz="4" w:space="0" w:color="17365D"/>
              <w:left w:val="nil"/>
              <w:bottom w:val="nil"/>
              <w:right w:val="nil"/>
            </w:tcBorders>
            <w:shd w:val="clear" w:color="auto" w:fill="auto"/>
            <w:vAlign w:val="center"/>
          </w:tcPr>
          <w:p w14:paraId="4B77A9FE" w14:textId="7F8C44D5"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386 743 048</w:t>
            </w:r>
          </w:p>
        </w:tc>
        <w:tc>
          <w:tcPr>
            <w:tcW w:w="1626" w:type="dxa"/>
            <w:tcBorders>
              <w:top w:val="single" w:sz="4" w:space="0" w:color="17365D"/>
              <w:left w:val="nil"/>
              <w:bottom w:val="nil"/>
              <w:right w:val="nil"/>
            </w:tcBorders>
            <w:shd w:val="clear" w:color="auto" w:fill="auto"/>
            <w:vAlign w:val="center"/>
          </w:tcPr>
          <w:p w14:paraId="48C15615" w14:textId="6C0A9E05" w:rsidR="004852DF" w:rsidRPr="00D613A6" w:rsidRDefault="005F1F4E" w:rsidP="005F1F4E">
            <w:pPr>
              <w:pStyle w:val="Pamatteksts1"/>
              <w:spacing w:before="60" w:after="60"/>
              <w:ind w:left="-107" w:right="-105" w:firstLine="0"/>
              <w:jc w:val="right"/>
              <w:rPr>
                <w:color w:val="17365D"/>
                <w:sz w:val="20"/>
                <w:szCs w:val="20"/>
              </w:rPr>
            </w:pPr>
            <w:r w:rsidRPr="00D613A6">
              <w:rPr>
                <w:color w:val="17365D"/>
                <w:sz w:val="20"/>
                <w:szCs w:val="20"/>
              </w:rPr>
              <w:t>42</w:t>
            </w:r>
            <w:r w:rsidR="004852DF" w:rsidRPr="00D613A6">
              <w:rPr>
                <w:color w:val="17365D"/>
                <w:sz w:val="20"/>
                <w:szCs w:val="20"/>
              </w:rPr>
              <w:t xml:space="preserve"> </w:t>
            </w:r>
            <w:r w:rsidRPr="00D613A6">
              <w:rPr>
                <w:color w:val="17365D"/>
                <w:sz w:val="20"/>
                <w:szCs w:val="20"/>
              </w:rPr>
              <w:t>420</w:t>
            </w:r>
            <w:r w:rsidR="004852DF" w:rsidRPr="00D613A6">
              <w:rPr>
                <w:color w:val="17365D"/>
                <w:sz w:val="20"/>
                <w:szCs w:val="20"/>
              </w:rPr>
              <w:t xml:space="preserve"> </w:t>
            </w:r>
            <w:r w:rsidRPr="00D613A6">
              <w:rPr>
                <w:color w:val="17365D"/>
                <w:sz w:val="20"/>
                <w:szCs w:val="20"/>
              </w:rPr>
              <w:t>236</w:t>
            </w:r>
          </w:p>
        </w:tc>
        <w:tc>
          <w:tcPr>
            <w:tcW w:w="1328" w:type="dxa"/>
            <w:tcBorders>
              <w:top w:val="single" w:sz="4" w:space="0" w:color="17365D"/>
              <w:left w:val="nil"/>
              <w:bottom w:val="nil"/>
              <w:right w:val="nil"/>
            </w:tcBorders>
            <w:shd w:val="clear" w:color="auto" w:fill="auto"/>
            <w:vAlign w:val="center"/>
          </w:tcPr>
          <w:p w14:paraId="3C10312E" w14:textId="106E33A7"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10</w:t>
            </w:r>
            <w:r w:rsidR="004852DF" w:rsidRPr="00D613A6">
              <w:rPr>
                <w:color w:val="17365D"/>
                <w:sz w:val="20"/>
                <w:szCs w:val="20"/>
              </w:rPr>
              <w:t>.</w:t>
            </w:r>
            <w:r w:rsidRPr="00D613A6">
              <w:rPr>
                <w:color w:val="17365D"/>
                <w:sz w:val="20"/>
                <w:szCs w:val="20"/>
              </w:rPr>
              <w:t>97</w:t>
            </w:r>
          </w:p>
        </w:tc>
      </w:tr>
      <w:tr w:rsidR="00D613A6" w:rsidRPr="00D613A6" w14:paraId="0A62E1EE" w14:textId="77777777" w:rsidTr="00437740">
        <w:trPr>
          <w:trHeight w:val="295"/>
        </w:trPr>
        <w:tc>
          <w:tcPr>
            <w:tcW w:w="884" w:type="dxa"/>
            <w:tcBorders>
              <w:top w:val="nil"/>
              <w:left w:val="nil"/>
              <w:bottom w:val="nil"/>
              <w:right w:val="nil"/>
            </w:tcBorders>
            <w:shd w:val="clear" w:color="auto" w:fill="B9CDE5"/>
            <w:vAlign w:val="center"/>
          </w:tcPr>
          <w:p w14:paraId="3AAE92F2" w14:textId="77777777" w:rsidR="00467DFA" w:rsidRPr="00D613A6" w:rsidRDefault="00467DFA" w:rsidP="00EF0C1E">
            <w:pPr>
              <w:pStyle w:val="Pamatteksts1"/>
              <w:spacing w:before="40" w:after="40"/>
              <w:ind w:firstLine="0"/>
              <w:jc w:val="left"/>
              <w:rPr>
                <w:color w:val="17365D"/>
                <w:sz w:val="20"/>
                <w:szCs w:val="20"/>
              </w:rPr>
            </w:pPr>
          </w:p>
        </w:tc>
        <w:tc>
          <w:tcPr>
            <w:tcW w:w="2578" w:type="dxa"/>
            <w:tcBorders>
              <w:top w:val="nil"/>
              <w:left w:val="nil"/>
              <w:bottom w:val="nil"/>
              <w:right w:val="nil"/>
            </w:tcBorders>
            <w:shd w:val="clear" w:color="auto" w:fill="B9CDE5"/>
            <w:vAlign w:val="center"/>
          </w:tcPr>
          <w:p w14:paraId="56482069" w14:textId="77777777" w:rsidR="00467DFA" w:rsidRPr="00D613A6" w:rsidRDefault="00467DFA" w:rsidP="00EF0C1E">
            <w:pPr>
              <w:pStyle w:val="Pamatteksts1"/>
              <w:spacing w:before="40" w:after="40"/>
              <w:ind w:firstLine="0"/>
              <w:rPr>
                <w:bCs/>
                <w:color w:val="17365D"/>
                <w:sz w:val="20"/>
                <w:szCs w:val="20"/>
              </w:rPr>
            </w:pPr>
          </w:p>
        </w:tc>
        <w:tc>
          <w:tcPr>
            <w:tcW w:w="1480" w:type="dxa"/>
            <w:tcBorders>
              <w:top w:val="nil"/>
              <w:left w:val="nil"/>
              <w:bottom w:val="nil"/>
              <w:right w:val="nil"/>
            </w:tcBorders>
            <w:shd w:val="clear" w:color="auto" w:fill="B9CDE5"/>
            <w:vAlign w:val="center"/>
          </w:tcPr>
          <w:p w14:paraId="28103576" w14:textId="77777777" w:rsidR="00467DFA" w:rsidRPr="00D613A6" w:rsidRDefault="00467DFA" w:rsidP="00EF0C1E">
            <w:pPr>
              <w:pStyle w:val="Pamatteksts1"/>
              <w:spacing w:before="40" w:after="40"/>
              <w:ind w:firstLine="0"/>
              <w:jc w:val="right"/>
              <w:rPr>
                <w:color w:val="17365D"/>
                <w:sz w:val="20"/>
                <w:szCs w:val="20"/>
              </w:rPr>
            </w:pPr>
          </w:p>
        </w:tc>
        <w:tc>
          <w:tcPr>
            <w:tcW w:w="1480" w:type="dxa"/>
            <w:tcBorders>
              <w:top w:val="nil"/>
              <w:left w:val="nil"/>
              <w:bottom w:val="nil"/>
              <w:right w:val="nil"/>
            </w:tcBorders>
            <w:shd w:val="clear" w:color="auto" w:fill="B9CDE5"/>
            <w:vAlign w:val="center"/>
          </w:tcPr>
          <w:p w14:paraId="10DFB721" w14:textId="77777777" w:rsidR="00467DFA" w:rsidRPr="00D613A6" w:rsidRDefault="00467DFA" w:rsidP="00EF0C1E">
            <w:pPr>
              <w:pStyle w:val="Pamatteksts1"/>
              <w:spacing w:before="40" w:after="40"/>
              <w:ind w:firstLine="0"/>
              <w:jc w:val="right"/>
              <w:rPr>
                <w:color w:val="17365D"/>
                <w:sz w:val="20"/>
                <w:szCs w:val="20"/>
              </w:rPr>
            </w:pPr>
          </w:p>
        </w:tc>
        <w:tc>
          <w:tcPr>
            <w:tcW w:w="1626" w:type="dxa"/>
            <w:tcBorders>
              <w:top w:val="nil"/>
              <w:left w:val="nil"/>
              <w:bottom w:val="nil"/>
              <w:right w:val="nil"/>
            </w:tcBorders>
            <w:shd w:val="clear" w:color="auto" w:fill="B9CDE5"/>
            <w:vAlign w:val="center"/>
          </w:tcPr>
          <w:p w14:paraId="7181167F" w14:textId="77777777" w:rsidR="00467DFA" w:rsidRPr="00D613A6" w:rsidRDefault="00467DFA" w:rsidP="00EF0C1E">
            <w:pPr>
              <w:pStyle w:val="Pamatteksts1"/>
              <w:spacing w:before="60" w:after="60"/>
              <w:ind w:left="-107" w:right="-105" w:firstLine="0"/>
              <w:jc w:val="right"/>
              <w:rPr>
                <w:color w:val="17365D"/>
                <w:sz w:val="20"/>
                <w:szCs w:val="20"/>
              </w:rPr>
            </w:pPr>
          </w:p>
        </w:tc>
        <w:tc>
          <w:tcPr>
            <w:tcW w:w="1328" w:type="dxa"/>
            <w:tcBorders>
              <w:top w:val="nil"/>
              <w:left w:val="nil"/>
              <w:bottom w:val="nil"/>
              <w:right w:val="nil"/>
            </w:tcBorders>
            <w:shd w:val="clear" w:color="auto" w:fill="B9CDE5"/>
            <w:vAlign w:val="center"/>
          </w:tcPr>
          <w:p w14:paraId="0048F81B" w14:textId="77777777" w:rsidR="00467DFA" w:rsidRPr="00D613A6" w:rsidRDefault="00467DFA" w:rsidP="00EF0C1E">
            <w:pPr>
              <w:pStyle w:val="Pamatteksts1"/>
              <w:spacing w:before="40" w:after="40"/>
              <w:ind w:firstLine="0"/>
              <w:jc w:val="right"/>
              <w:rPr>
                <w:color w:val="17365D"/>
                <w:sz w:val="20"/>
                <w:szCs w:val="20"/>
              </w:rPr>
            </w:pPr>
          </w:p>
        </w:tc>
      </w:tr>
    </w:tbl>
    <w:p w14:paraId="3D2291D1" w14:textId="3E3E0AD6" w:rsidR="00263B8B" w:rsidRPr="00D613A6" w:rsidRDefault="00263B8B" w:rsidP="004E28A8">
      <w:pPr>
        <w:pStyle w:val="Pamatteksts1"/>
        <w:rPr>
          <w:noProof w:val="0"/>
          <w:color w:val="17365D"/>
        </w:rPr>
      </w:pPr>
    </w:p>
    <w:p w14:paraId="51CA3802" w14:textId="5D31B83E" w:rsidR="00207E74" w:rsidRPr="00D613A6" w:rsidRDefault="00207E74" w:rsidP="00207E74">
      <w:pPr>
        <w:pStyle w:val="Pamatteksts1"/>
        <w:rPr>
          <w:noProof w:val="0"/>
          <w:color w:val="17365D"/>
        </w:rPr>
      </w:pPr>
      <w:r w:rsidRPr="00D613A6">
        <w:rPr>
          <w:noProof w:val="0"/>
          <w:color w:val="17365D"/>
        </w:rPr>
        <w:t>Izmaiņas galvenokārt ietekmēja:</w:t>
      </w:r>
    </w:p>
    <w:p w14:paraId="49C2313E" w14:textId="01065272" w:rsidR="00AC7A42" w:rsidRPr="00D613A6" w:rsidRDefault="00207E74" w:rsidP="006E06CE">
      <w:pPr>
        <w:pStyle w:val="Bullets"/>
        <w:numPr>
          <w:ilvl w:val="0"/>
          <w:numId w:val="7"/>
        </w:numPr>
        <w:ind w:left="993" w:hanging="426"/>
        <w:rPr>
          <w:noProof w:val="0"/>
          <w:color w:val="17365D"/>
        </w:rPr>
      </w:pPr>
      <w:r w:rsidRPr="00D613A6">
        <w:rPr>
          <w:noProof w:val="0"/>
          <w:color w:val="17365D"/>
        </w:rPr>
        <w:t xml:space="preserve">Izglītības un zinātnes ministrijai ieskaitīts finansējums </w:t>
      </w:r>
      <w:r w:rsidR="00D86176" w:rsidRPr="00D613A6">
        <w:rPr>
          <w:noProof w:val="0"/>
          <w:color w:val="17365D"/>
        </w:rPr>
        <w:t xml:space="preserve">projektu </w:t>
      </w:r>
      <w:r w:rsidR="00AC7A42" w:rsidRPr="00D613A6">
        <w:rPr>
          <w:noProof w:val="0"/>
          <w:color w:val="17365D"/>
        </w:rPr>
        <w:t>Vēža skrīninga programmu ieviešana (EUCanScreen), Zema dimensijas ferolektriķi progresīvām elektroniskām un biomedicīniskām ierīcēm (FeLow</w:t>
      </w:r>
      <w:r w:rsidR="006E06CE" w:rsidRPr="00D613A6">
        <w:rPr>
          <w:noProof w:val="0"/>
          <w:color w:val="17365D"/>
        </w:rPr>
        <w:t>–</w:t>
      </w:r>
      <w:r w:rsidR="00AC7A42" w:rsidRPr="00D613A6">
        <w:rPr>
          <w:noProof w:val="0"/>
          <w:color w:val="17365D"/>
        </w:rPr>
        <w:t>D), Ceļā uz izcilības centru kvantu fotonikā Latvijā realizācijai;</w:t>
      </w:r>
    </w:p>
    <w:p w14:paraId="15A8E2D9" w14:textId="6AD860BC" w:rsidR="00480486" w:rsidRPr="00D613A6" w:rsidRDefault="00497283" w:rsidP="006E06CE">
      <w:pPr>
        <w:pStyle w:val="Bullets"/>
        <w:numPr>
          <w:ilvl w:val="0"/>
          <w:numId w:val="7"/>
        </w:numPr>
        <w:ind w:left="993" w:hanging="426"/>
        <w:rPr>
          <w:noProof w:val="0"/>
          <w:color w:val="17365D"/>
        </w:rPr>
      </w:pPr>
      <w:r w:rsidRPr="00D613A6">
        <w:rPr>
          <w:noProof w:val="0"/>
          <w:color w:val="17365D"/>
        </w:rPr>
        <w:t>Veselības</w:t>
      </w:r>
      <w:r w:rsidR="00207E74" w:rsidRPr="00D613A6">
        <w:rPr>
          <w:noProof w:val="0"/>
          <w:color w:val="17365D"/>
        </w:rPr>
        <w:t xml:space="preserve"> ministrijai saņemts finansējums </w:t>
      </w:r>
      <w:r w:rsidR="00AC7A42" w:rsidRPr="00D613A6">
        <w:rPr>
          <w:noProof w:val="0"/>
          <w:color w:val="17365D"/>
        </w:rPr>
        <w:t xml:space="preserve">dažādu projektu </w:t>
      </w:r>
      <w:r w:rsidR="001761D7" w:rsidRPr="00D613A6">
        <w:rPr>
          <w:noProof w:val="0"/>
          <w:color w:val="17365D"/>
        </w:rPr>
        <w:t>–</w:t>
      </w:r>
      <w:r w:rsidR="00AC7A42" w:rsidRPr="00D613A6">
        <w:rPr>
          <w:noProof w:val="0"/>
          <w:color w:val="17365D"/>
        </w:rPr>
        <w:t xml:space="preserve"> Kultūras pratības vērtība Eiropā, Informācijas apspiešanas noteikšana un apkarošana no transnacionālas perspektīvas, Eiropas vakcinācija pēc Covid, Veselīgs un izturīgs domāšanas veids ar organizētu, atbalstošu un digitālu darba vietu jums (HARMONY), Luminiscenti implanti kā porti gaismas terapijām realizācijai;</w:t>
      </w:r>
    </w:p>
    <w:p w14:paraId="0D911F5E" w14:textId="4C36BE8E" w:rsidR="00480486" w:rsidRPr="00D613A6" w:rsidRDefault="00207E74" w:rsidP="006E06CE">
      <w:pPr>
        <w:pStyle w:val="Bullets"/>
        <w:numPr>
          <w:ilvl w:val="0"/>
          <w:numId w:val="7"/>
        </w:numPr>
        <w:ind w:left="993" w:hanging="426"/>
        <w:rPr>
          <w:noProof w:val="0"/>
          <w:color w:val="17365D"/>
        </w:rPr>
      </w:pPr>
      <w:r w:rsidRPr="00D613A6">
        <w:rPr>
          <w:noProof w:val="0"/>
          <w:color w:val="17365D"/>
        </w:rPr>
        <w:t xml:space="preserve">Zemkopības ministrijai </w:t>
      </w:r>
      <w:r w:rsidR="00480486" w:rsidRPr="00D613A6">
        <w:rPr>
          <w:noProof w:val="0"/>
          <w:color w:val="17365D"/>
        </w:rPr>
        <w:t xml:space="preserve">ārvalstu finansu palīdzības ieņēmumi par ārvalstu finanšu palīdzības projektu līdzekļiem veikto zinātniskajiem pētījumiem. </w:t>
      </w:r>
    </w:p>
    <w:p w14:paraId="6EA78B17" w14:textId="2D7A10C1" w:rsidR="00207E74" w:rsidRPr="00D613A6" w:rsidRDefault="00207E74" w:rsidP="00480486">
      <w:pPr>
        <w:pStyle w:val="ListParagraph"/>
        <w:spacing w:after="0"/>
        <w:ind w:left="1346" w:firstLine="0"/>
        <w:rPr>
          <w:color w:val="17365D"/>
        </w:rPr>
      </w:pPr>
    </w:p>
    <w:p w14:paraId="5F06EC2B" w14:textId="23CD03F5" w:rsidR="00263B8B" w:rsidRPr="00D613A6" w:rsidRDefault="0019052E" w:rsidP="00701204">
      <w:pPr>
        <w:pStyle w:val="Pamatteksts1"/>
        <w:rPr>
          <w:rFonts w:eastAsia="Arial Unicode MS"/>
          <w:i/>
          <w:color w:val="17365D"/>
          <w:sz w:val="20"/>
        </w:rPr>
      </w:pPr>
      <w:r w:rsidRPr="00D613A6">
        <w:rPr>
          <w:b/>
          <w:color w:val="17365D"/>
        </w:rPr>
        <mc:AlternateContent>
          <mc:Choice Requires="wps">
            <w:drawing>
              <wp:anchor distT="0" distB="0" distL="114300" distR="114300" simplePos="0" relativeHeight="251649536" behindDoc="1" locked="0" layoutInCell="1" allowOverlap="1" wp14:anchorId="438B9FA4" wp14:editId="6731422C">
                <wp:simplePos x="0" y="0"/>
                <wp:positionH relativeFrom="column">
                  <wp:posOffset>4263390</wp:posOffset>
                </wp:positionH>
                <wp:positionV relativeFrom="paragraph">
                  <wp:posOffset>6985</wp:posOffset>
                </wp:positionV>
                <wp:extent cx="1681200" cy="745200"/>
                <wp:effectExtent l="0" t="0" r="14605" b="17145"/>
                <wp:wrapThrough wrapText="bothSides">
                  <wp:wrapPolygon edited="0">
                    <wp:start x="0" y="0"/>
                    <wp:lineTo x="0" y="21545"/>
                    <wp:lineTo x="21543" y="21545"/>
                    <wp:lineTo x="21543" y="0"/>
                    <wp:lineTo x="0" y="0"/>
                  </wp:wrapPolygon>
                </wp:wrapThrough>
                <wp:docPr id="38" name="Rectangle 38"/>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01C00F07" w14:textId="77777777" w:rsidR="000A5BFC" w:rsidRPr="00C939EF" w:rsidRDefault="000A5BFC" w:rsidP="004B1D14">
                            <w:pPr>
                              <w:ind w:firstLine="0"/>
                              <w:jc w:val="center"/>
                              <w:rPr>
                                <w:color w:val="17365D"/>
                              </w:rPr>
                            </w:pPr>
                            <w:r w:rsidRPr="00C939EF">
                              <w:rPr>
                                <w:color w:val="17365D"/>
                              </w:rPr>
                              <w:t>Pamatdarbības izdevumi –</w:t>
                            </w:r>
                          </w:p>
                          <w:p w14:paraId="400D3903" w14:textId="3114DC29" w:rsidR="000A5BFC" w:rsidRPr="00C939EF" w:rsidRDefault="000A5BFC" w:rsidP="004B1D14">
                            <w:pPr>
                              <w:ind w:firstLine="0"/>
                              <w:jc w:val="center"/>
                              <w:rPr>
                                <w:color w:val="17365D"/>
                              </w:rPr>
                            </w:pPr>
                            <w:r>
                              <w:rPr>
                                <w:b/>
                                <w:color w:val="17365D"/>
                              </w:rPr>
                              <w:t>600</w:t>
                            </w:r>
                            <w:r w:rsidRPr="00FA4529">
                              <w:rPr>
                                <w:b/>
                                <w:color w:val="17365D"/>
                              </w:rPr>
                              <w:t xml:space="preserve"> </w:t>
                            </w:r>
                            <w:r>
                              <w:rPr>
                                <w:b/>
                                <w:color w:val="17365D"/>
                              </w:rPr>
                              <w:t>549</w:t>
                            </w:r>
                            <w:r w:rsidRPr="00FA4529">
                              <w:rPr>
                                <w:b/>
                                <w:color w:val="17365D"/>
                              </w:rPr>
                              <w:t xml:space="preserve"> </w:t>
                            </w:r>
                            <w:r>
                              <w:rPr>
                                <w:b/>
                                <w:color w:val="17365D"/>
                              </w:rPr>
                              <w:t>199</w:t>
                            </w:r>
                            <w:r w:rsidRPr="00FA4529">
                              <w:rPr>
                                <w:b/>
                                <w:color w:val="17365D"/>
                              </w:rPr>
                              <w:t xml:space="preserve"> </w:t>
                            </w:r>
                            <w:r w:rsidRPr="00C939EF">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B9FA4" id="Rectangle 38" o:spid="_x0000_s1035" style="position:absolute;left:0;text-align:left;margin-left:335.7pt;margin-top:.55pt;width:132.4pt;height:5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" fillcolor="window" strokecolor="#17365d" strokeweight="2pt">
                <v:stroke dashstyle="1 1"/>
                <v:textbox>
                  <w:txbxContent>
                    <w:p w14:paraId="01C00F07" w14:textId="77777777" w:rsidR="000A5BFC" w:rsidRPr="00C939EF" w:rsidRDefault="000A5BFC" w:rsidP="004B1D14">
                      <w:pPr>
                        <w:ind w:firstLine="0"/>
                        <w:jc w:val="center"/>
                        <w:rPr>
                          <w:color w:val="17365D"/>
                        </w:rPr>
                      </w:pPr>
                      <w:r w:rsidRPr="00C939EF">
                        <w:rPr>
                          <w:color w:val="17365D"/>
                        </w:rPr>
                        <w:t>Pamatdarbības izdevumi –</w:t>
                      </w:r>
                    </w:p>
                    <w:p w14:paraId="400D3903" w14:textId="3114DC29" w:rsidR="000A5BFC" w:rsidRPr="00C939EF" w:rsidRDefault="000A5BFC" w:rsidP="004B1D14">
                      <w:pPr>
                        <w:ind w:firstLine="0"/>
                        <w:jc w:val="center"/>
                        <w:rPr>
                          <w:color w:val="17365D"/>
                        </w:rPr>
                      </w:pPr>
                      <w:r>
                        <w:rPr>
                          <w:b/>
                          <w:color w:val="17365D"/>
                        </w:rPr>
                        <w:t>600</w:t>
                      </w:r>
                      <w:r w:rsidRPr="00FA4529">
                        <w:rPr>
                          <w:b/>
                          <w:color w:val="17365D"/>
                        </w:rPr>
                        <w:t xml:space="preserve"> </w:t>
                      </w:r>
                      <w:r>
                        <w:rPr>
                          <w:b/>
                          <w:color w:val="17365D"/>
                        </w:rPr>
                        <w:t>549</w:t>
                      </w:r>
                      <w:r w:rsidRPr="00FA4529">
                        <w:rPr>
                          <w:b/>
                          <w:color w:val="17365D"/>
                        </w:rPr>
                        <w:t xml:space="preserve"> </w:t>
                      </w:r>
                      <w:r>
                        <w:rPr>
                          <w:b/>
                          <w:color w:val="17365D"/>
                        </w:rPr>
                        <w:t>199</w:t>
                      </w:r>
                      <w:r w:rsidRPr="00FA4529">
                        <w:rPr>
                          <w:b/>
                          <w:color w:val="17365D"/>
                        </w:rPr>
                        <w:t xml:space="preserve"> </w:t>
                      </w:r>
                      <w:r w:rsidRPr="00C939EF">
                        <w:rPr>
                          <w:i/>
                          <w:color w:val="17365D"/>
                        </w:rPr>
                        <w:t>euro</w:t>
                      </w:r>
                    </w:p>
                  </w:txbxContent>
                </v:textbox>
                <w10:wrap type="through"/>
              </v:rect>
            </w:pict>
          </mc:Fallback>
        </mc:AlternateContent>
      </w:r>
      <w:r w:rsidR="00311D5E" w:rsidRPr="00D613A6">
        <w:rPr>
          <w:noProof w:val="0"/>
          <w:color w:val="17365D"/>
        </w:rPr>
        <w:t xml:space="preserve">No valsts budžeta daļēji finansētu atvasinātu publisku personu </w:t>
      </w:r>
      <w:r w:rsidR="00311D5E" w:rsidRPr="00D613A6">
        <w:rPr>
          <w:iCs/>
          <w:noProof w:val="0"/>
          <w:color w:val="17365D"/>
        </w:rPr>
        <w:t xml:space="preserve">un budžeta nefinansētu iestāžu </w:t>
      </w:r>
      <w:r w:rsidR="00311D5E" w:rsidRPr="00D613A6">
        <w:rPr>
          <w:noProof w:val="0"/>
          <w:color w:val="17365D"/>
        </w:rPr>
        <w:t xml:space="preserve">pamatdarbības kopējie izdevumi </w:t>
      </w:r>
      <w:r w:rsidR="008F2503" w:rsidRPr="00D613A6">
        <w:rPr>
          <w:noProof w:val="0"/>
          <w:color w:val="17365D"/>
        </w:rPr>
        <w:t>20</w:t>
      </w:r>
      <w:r w:rsidR="00CD2374" w:rsidRPr="00D613A6">
        <w:rPr>
          <w:noProof w:val="0"/>
          <w:color w:val="17365D"/>
        </w:rPr>
        <w:t>2</w:t>
      </w:r>
      <w:r w:rsidR="00FF7920" w:rsidRPr="00D613A6">
        <w:rPr>
          <w:noProof w:val="0"/>
          <w:color w:val="17365D"/>
        </w:rPr>
        <w:t>4</w:t>
      </w:r>
      <w:r w:rsidR="008F2503" w:rsidRPr="00D613A6">
        <w:rPr>
          <w:noProof w:val="0"/>
          <w:color w:val="17365D"/>
        </w:rPr>
        <w:t>. gad</w:t>
      </w:r>
      <w:r w:rsidR="00311D5E" w:rsidRPr="00D613A6">
        <w:rPr>
          <w:noProof w:val="0"/>
          <w:color w:val="17365D"/>
        </w:rPr>
        <w:t xml:space="preserve">ā sasniedza </w:t>
      </w:r>
      <w:r w:rsidR="00FF7920" w:rsidRPr="00D613A6">
        <w:rPr>
          <w:noProof w:val="0"/>
          <w:color w:val="17365D"/>
        </w:rPr>
        <w:t>600</w:t>
      </w:r>
      <w:r w:rsidR="00311D5E" w:rsidRPr="00D613A6">
        <w:rPr>
          <w:noProof w:val="0"/>
          <w:color w:val="17365D"/>
        </w:rPr>
        <w:t>,</w:t>
      </w:r>
      <w:r w:rsidR="00FF7920" w:rsidRPr="00D613A6">
        <w:rPr>
          <w:noProof w:val="0"/>
          <w:color w:val="17365D"/>
        </w:rPr>
        <w:t>5</w:t>
      </w:r>
      <w:r w:rsidR="0057275A" w:rsidRPr="00D613A6">
        <w:rPr>
          <w:noProof w:val="0"/>
          <w:color w:val="17365D"/>
        </w:rPr>
        <w:t> </w:t>
      </w:r>
      <w:r w:rsidR="00311D5E" w:rsidRPr="00D613A6">
        <w:rPr>
          <w:noProof w:val="0"/>
          <w:color w:val="17365D"/>
        </w:rPr>
        <w:t>milj</w:t>
      </w:r>
      <w:r w:rsidR="00FC260A" w:rsidRPr="00D613A6">
        <w:rPr>
          <w:noProof w:val="0"/>
          <w:color w:val="17365D"/>
        </w:rPr>
        <w:t>. </w:t>
      </w:r>
      <w:r w:rsidR="00EF7B9A" w:rsidRPr="00D613A6">
        <w:rPr>
          <w:i/>
          <w:noProof w:val="0"/>
          <w:color w:val="17365D"/>
        </w:rPr>
        <w:t>euro</w:t>
      </w:r>
      <w:r w:rsidR="00B07BC5" w:rsidRPr="00D613A6">
        <w:rPr>
          <w:i/>
          <w:noProof w:val="0"/>
          <w:color w:val="17365D"/>
        </w:rPr>
        <w:t xml:space="preserve"> </w:t>
      </w:r>
      <w:r w:rsidR="00395AC6" w:rsidRPr="00D613A6">
        <w:rPr>
          <w:noProof w:val="0"/>
          <w:color w:val="17365D"/>
        </w:rPr>
        <w:t xml:space="preserve">(skatīt </w:t>
      </w:r>
      <w:r w:rsidR="00872488" w:rsidRPr="00D613A6">
        <w:rPr>
          <w:noProof w:val="0"/>
          <w:color w:val="17365D"/>
        </w:rPr>
        <w:t>6.</w:t>
      </w:r>
      <w:r w:rsidR="00641409" w:rsidRPr="00D613A6">
        <w:rPr>
          <w:noProof w:val="0"/>
          <w:color w:val="17365D"/>
        </w:rPr>
        <w:t>11</w:t>
      </w:r>
      <w:r w:rsidR="00395AC6" w:rsidRPr="00D613A6">
        <w:rPr>
          <w:noProof w:val="0"/>
          <w:color w:val="17365D"/>
        </w:rPr>
        <w:t>. tabulu)</w:t>
      </w:r>
      <w:r w:rsidR="00311D5E" w:rsidRPr="00D613A6">
        <w:rPr>
          <w:noProof w:val="0"/>
          <w:color w:val="17365D"/>
        </w:rPr>
        <w:t xml:space="preserve">. Salīdzinot ar </w:t>
      </w:r>
      <w:r w:rsidR="008F2503" w:rsidRPr="00D613A6">
        <w:rPr>
          <w:noProof w:val="0"/>
          <w:color w:val="17365D"/>
        </w:rPr>
        <w:t>20</w:t>
      </w:r>
      <w:r w:rsidR="00CF676C" w:rsidRPr="00D613A6">
        <w:rPr>
          <w:noProof w:val="0"/>
          <w:color w:val="17365D"/>
        </w:rPr>
        <w:t>2</w:t>
      </w:r>
      <w:r w:rsidR="00FF7920" w:rsidRPr="00D613A6">
        <w:rPr>
          <w:noProof w:val="0"/>
          <w:color w:val="17365D"/>
        </w:rPr>
        <w:t>3</w:t>
      </w:r>
      <w:r w:rsidR="008F2503" w:rsidRPr="00D613A6">
        <w:rPr>
          <w:noProof w:val="0"/>
          <w:color w:val="17365D"/>
        </w:rPr>
        <w:t>. </w:t>
      </w:r>
      <w:r w:rsidR="00FC260A" w:rsidRPr="00D613A6">
        <w:rPr>
          <w:noProof w:val="0"/>
          <w:color w:val="17365D"/>
        </w:rPr>
        <w:t>g</w:t>
      </w:r>
      <w:r w:rsidR="008F2503" w:rsidRPr="00D613A6">
        <w:rPr>
          <w:noProof w:val="0"/>
          <w:color w:val="17365D"/>
        </w:rPr>
        <w:t>ad</w:t>
      </w:r>
      <w:r w:rsidR="00311D5E" w:rsidRPr="00D613A6">
        <w:rPr>
          <w:noProof w:val="0"/>
          <w:color w:val="17365D"/>
        </w:rPr>
        <w:t>u</w:t>
      </w:r>
      <w:r w:rsidR="00AA1F22" w:rsidRPr="00D613A6">
        <w:rPr>
          <w:noProof w:val="0"/>
          <w:color w:val="17365D"/>
        </w:rPr>
        <w:t>,</w:t>
      </w:r>
      <w:r w:rsidR="00311D5E" w:rsidRPr="00D613A6">
        <w:rPr>
          <w:noProof w:val="0"/>
          <w:color w:val="17365D"/>
        </w:rPr>
        <w:t xml:space="preserve"> izdevumi </w:t>
      </w:r>
      <w:r w:rsidR="0052022A" w:rsidRPr="00D613A6">
        <w:rPr>
          <w:noProof w:val="0"/>
          <w:color w:val="17365D"/>
        </w:rPr>
        <w:t>paliel</w:t>
      </w:r>
      <w:r w:rsidR="003A38BF" w:rsidRPr="00D613A6">
        <w:rPr>
          <w:noProof w:val="0"/>
          <w:color w:val="17365D"/>
        </w:rPr>
        <w:t>i</w:t>
      </w:r>
      <w:r w:rsidR="00311D5E" w:rsidRPr="00D613A6">
        <w:rPr>
          <w:noProof w:val="0"/>
          <w:color w:val="17365D"/>
        </w:rPr>
        <w:t xml:space="preserve">nājušies par </w:t>
      </w:r>
      <w:r w:rsidR="00FF7920" w:rsidRPr="00D613A6">
        <w:rPr>
          <w:noProof w:val="0"/>
          <w:color w:val="17365D"/>
        </w:rPr>
        <w:t>10</w:t>
      </w:r>
      <w:r w:rsidR="00311D5E" w:rsidRPr="00D613A6">
        <w:rPr>
          <w:noProof w:val="0"/>
          <w:color w:val="17365D"/>
        </w:rPr>
        <w:t>,</w:t>
      </w:r>
      <w:r w:rsidR="00FF7920" w:rsidRPr="00D613A6">
        <w:rPr>
          <w:noProof w:val="0"/>
          <w:color w:val="17365D"/>
        </w:rPr>
        <w:t>8</w:t>
      </w:r>
      <w:r w:rsidR="0057275A" w:rsidRPr="00D613A6">
        <w:rPr>
          <w:noProof w:val="0"/>
          <w:color w:val="17365D"/>
        </w:rPr>
        <w:t> </w:t>
      </w:r>
      <w:r w:rsidR="00FC260A" w:rsidRPr="00D613A6">
        <w:rPr>
          <w:noProof w:val="0"/>
          <w:color w:val="17365D"/>
        </w:rPr>
        <w:t>milj. </w:t>
      </w:r>
      <w:r w:rsidR="00EF7B9A" w:rsidRPr="00D613A6">
        <w:rPr>
          <w:i/>
          <w:noProof w:val="0"/>
          <w:color w:val="17365D"/>
        </w:rPr>
        <w:t>euro</w:t>
      </w:r>
      <w:r w:rsidR="00311D5E" w:rsidRPr="00D613A6">
        <w:rPr>
          <w:noProof w:val="0"/>
          <w:color w:val="17365D"/>
        </w:rPr>
        <w:t xml:space="preserve"> jeb </w:t>
      </w:r>
      <w:r w:rsidR="00B02451" w:rsidRPr="00D613A6">
        <w:rPr>
          <w:noProof w:val="0"/>
          <w:color w:val="17365D"/>
        </w:rPr>
        <w:t>1</w:t>
      </w:r>
      <w:r w:rsidR="00311D5E" w:rsidRPr="00D613A6">
        <w:rPr>
          <w:noProof w:val="0"/>
          <w:color w:val="17365D"/>
        </w:rPr>
        <w:t>,</w:t>
      </w:r>
      <w:r w:rsidR="00FF7920" w:rsidRPr="00D613A6">
        <w:rPr>
          <w:noProof w:val="0"/>
          <w:color w:val="17365D"/>
        </w:rPr>
        <w:t>83</w:t>
      </w:r>
      <w:r w:rsidR="006A7956" w:rsidRPr="00D613A6">
        <w:rPr>
          <w:noProof w:val="0"/>
          <w:color w:val="17365D"/>
        </w:rPr>
        <w:t> %</w:t>
      </w:r>
      <w:r w:rsidR="00311D5E" w:rsidRPr="00D613A6">
        <w:rPr>
          <w:noProof w:val="0"/>
          <w:color w:val="17365D"/>
        </w:rPr>
        <w:t>.</w:t>
      </w:r>
      <w:r w:rsidR="006A7956" w:rsidRPr="00D613A6">
        <w:rPr>
          <w:noProof w:val="0"/>
          <w:color w:val="17365D"/>
        </w:rPr>
        <w:t xml:space="preserve"> </w:t>
      </w:r>
    </w:p>
    <w:p w14:paraId="452F1650" w14:textId="12D49A4F" w:rsidR="00EC5785" w:rsidRPr="00D613A6" w:rsidRDefault="00872488" w:rsidP="0037200B">
      <w:pPr>
        <w:spacing w:after="0"/>
        <w:ind w:firstLine="0"/>
        <w:jc w:val="right"/>
        <w:rPr>
          <w:rFonts w:eastAsia="Arial Unicode MS"/>
          <w:i/>
          <w:color w:val="17365D"/>
          <w:sz w:val="20"/>
        </w:rPr>
      </w:pPr>
      <w:r w:rsidRPr="00D613A6">
        <w:rPr>
          <w:rFonts w:eastAsia="Arial Unicode MS"/>
          <w:i/>
          <w:color w:val="17365D"/>
          <w:sz w:val="20"/>
        </w:rPr>
        <w:t>6.</w:t>
      </w:r>
      <w:r w:rsidR="00C551CC" w:rsidRPr="00D613A6">
        <w:rPr>
          <w:rFonts w:eastAsia="Arial Unicode MS"/>
          <w:i/>
          <w:color w:val="17365D"/>
          <w:sz w:val="20"/>
        </w:rPr>
        <w:t>11</w:t>
      </w:r>
      <w:r w:rsidR="00EC5785" w:rsidRPr="00D613A6">
        <w:rPr>
          <w:rFonts w:eastAsia="Arial Unicode MS"/>
          <w:i/>
          <w:color w:val="17365D"/>
          <w:sz w:val="20"/>
        </w:rPr>
        <w:t xml:space="preserve">. tabula. </w:t>
      </w:r>
      <w:r w:rsidR="00EC5785" w:rsidRPr="00D613A6">
        <w:rPr>
          <w:bCs/>
          <w:i/>
          <w:color w:val="17365D"/>
          <w:sz w:val="20"/>
          <w:szCs w:val="20"/>
        </w:rPr>
        <w:t>Izdevum</w:t>
      </w:r>
      <w:r w:rsidR="0019052E" w:rsidRPr="00D613A6">
        <w:rPr>
          <w:bCs/>
          <w:i/>
          <w:color w:val="17365D"/>
          <w:sz w:val="20"/>
          <w:szCs w:val="20"/>
        </w:rPr>
        <w:t>u</w:t>
      </w:r>
      <w:r w:rsidR="00EC5785" w:rsidRPr="00D613A6">
        <w:rPr>
          <w:bCs/>
          <w:i/>
          <w:color w:val="17365D"/>
          <w:sz w:val="20"/>
          <w:szCs w:val="20"/>
        </w:rPr>
        <w:t xml:space="preserve"> no pamat</w:t>
      </w:r>
      <w:r w:rsidR="0019052E" w:rsidRPr="00D613A6">
        <w:rPr>
          <w:bCs/>
          <w:i/>
          <w:color w:val="17365D"/>
          <w:sz w:val="20"/>
          <w:szCs w:val="20"/>
        </w:rPr>
        <w:t>darbības izmaiņas</w:t>
      </w:r>
      <w:r w:rsidR="00EC5785" w:rsidRPr="00D613A6">
        <w:rPr>
          <w:bCs/>
          <w:i/>
          <w:color w:val="17365D"/>
          <w:sz w:val="20"/>
          <w:szCs w:val="20"/>
        </w:rPr>
        <w:t xml:space="preserve"> (</w:t>
      </w:r>
      <w:r w:rsidR="00EC5785" w:rsidRPr="00D613A6">
        <w:rPr>
          <w:i/>
          <w:color w:val="17365D"/>
          <w:sz w:val="20"/>
        </w:rPr>
        <w:t>euro)</w:t>
      </w:r>
    </w:p>
    <w:tbl>
      <w:tblPr>
        <w:tblStyle w:val="TableGrid"/>
        <w:tblW w:w="938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904"/>
        <w:gridCol w:w="2566"/>
        <w:gridCol w:w="1482"/>
        <w:gridCol w:w="1482"/>
        <w:gridCol w:w="1634"/>
        <w:gridCol w:w="1317"/>
      </w:tblGrid>
      <w:tr w:rsidR="00D613A6" w:rsidRPr="00D613A6" w14:paraId="634EFCA7" w14:textId="77777777" w:rsidTr="005E306E">
        <w:trPr>
          <w:trHeight w:val="284"/>
          <w:tblHeader/>
        </w:trPr>
        <w:tc>
          <w:tcPr>
            <w:tcW w:w="904" w:type="dxa"/>
            <w:vMerge w:val="restart"/>
            <w:tcBorders>
              <w:top w:val="nil"/>
            </w:tcBorders>
            <w:shd w:val="clear" w:color="auto" w:fill="B9CDE5"/>
            <w:vAlign w:val="center"/>
          </w:tcPr>
          <w:p w14:paraId="3A77DC8B" w14:textId="355863FD"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6" w:type="dxa"/>
            <w:vMerge w:val="restart"/>
            <w:tcBorders>
              <w:top w:val="nil"/>
            </w:tcBorders>
            <w:shd w:val="clear" w:color="auto" w:fill="B9CDE5"/>
            <w:vAlign w:val="center"/>
          </w:tcPr>
          <w:p w14:paraId="2354A667"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37A5D0CB"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Budžeta izpilde</w:t>
            </w:r>
          </w:p>
        </w:tc>
        <w:tc>
          <w:tcPr>
            <w:tcW w:w="1634" w:type="dxa"/>
            <w:vMerge w:val="restart"/>
            <w:tcBorders>
              <w:top w:val="nil"/>
            </w:tcBorders>
            <w:shd w:val="clear" w:color="auto" w:fill="B9CDE5"/>
            <w:vAlign w:val="center"/>
          </w:tcPr>
          <w:p w14:paraId="32C346B2" w14:textId="707DBA8B"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6F47DFEC" w14:textId="4332059B"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(1.–2.)</w:t>
            </w:r>
          </w:p>
        </w:tc>
        <w:tc>
          <w:tcPr>
            <w:tcW w:w="1317" w:type="dxa"/>
            <w:vMerge w:val="restart"/>
            <w:tcBorders>
              <w:top w:val="nil"/>
            </w:tcBorders>
            <w:shd w:val="clear" w:color="auto" w:fill="B9CDE5"/>
            <w:tcMar>
              <w:left w:w="57" w:type="dxa"/>
              <w:right w:w="57" w:type="dxa"/>
            </w:tcMar>
            <w:vAlign w:val="center"/>
          </w:tcPr>
          <w:p w14:paraId="336666C8"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Procentuālās izmaiņas</w:t>
            </w:r>
          </w:p>
          <w:p w14:paraId="7A81DED8" w14:textId="048960FD" w:rsidR="006B7C49" w:rsidRPr="00D613A6" w:rsidRDefault="006B7C49"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768C1992" w14:textId="77777777" w:rsidTr="00856306">
        <w:trPr>
          <w:trHeight w:val="284"/>
          <w:tblHeader/>
        </w:trPr>
        <w:tc>
          <w:tcPr>
            <w:tcW w:w="904" w:type="dxa"/>
            <w:vMerge/>
            <w:tcBorders>
              <w:bottom w:val="nil"/>
            </w:tcBorders>
            <w:vAlign w:val="center"/>
          </w:tcPr>
          <w:p w14:paraId="683F79FE" w14:textId="77777777" w:rsidR="006B7C49" w:rsidRPr="00D613A6" w:rsidRDefault="006B7C49" w:rsidP="0019052E">
            <w:pPr>
              <w:pStyle w:val="Pamatteksts1"/>
              <w:spacing w:after="0"/>
              <w:ind w:firstLine="0"/>
              <w:jc w:val="center"/>
              <w:rPr>
                <w:color w:val="17365D"/>
                <w:sz w:val="20"/>
                <w:szCs w:val="20"/>
              </w:rPr>
            </w:pPr>
          </w:p>
        </w:tc>
        <w:tc>
          <w:tcPr>
            <w:tcW w:w="2566" w:type="dxa"/>
            <w:vMerge/>
            <w:tcBorders>
              <w:bottom w:val="nil"/>
            </w:tcBorders>
            <w:vAlign w:val="center"/>
          </w:tcPr>
          <w:p w14:paraId="6637F19E" w14:textId="77777777" w:rsidR="006B7C49" w:rsidRPr="00D613A6" w:rsidRDefault="006B7C49" w:rsidP="0019052E">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6B1BA13F" w14:textId="77777777" w:rsidR="006B7C49" w:rsidRPr="00D613A6" w:rsidRDefault="006B7C49" w:rsidP="004753B6">
            <w:pPr>
              <w:spacing w:before="60" w:after="6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1E05EC85" w14:textId="77777777" w:rsidR="006B7C49" w:rsidRPr="00D613A6" w:rsidRDefault="006B7C49" w:rsidP="004753B6">
            <w:pPr>
              <w:spacing w:before="60" w:after="60"/>
              <w:ind w:firstLine="0"/>
              <w:jc w:val="center"/>
              <w:rPr>
                <w:b/>
                <w:noProof/>
                <w:color w:val="17365D"/>
                <w:sz w:val="20"/>
                <w:szCs w:val="20"/>
              </w:rPr>
            </w:pPr>
            <w:r w:rsidRPr="00D613A6">
              <w:rPr>
                <w:b/>
                <w:color w:val="17365D"/>
                <w:sz w:val="20"/>
                <w:szCs w:val="20"/>
              </w:rPr>
              <w:t>iepriekšējā pārskata periodā</w:t>
            </w:r>
          </w:p>
        </w:tc>
        <w:tc>
          <w:tcPr>
            <w:tcW w:w="1634" w:type="dxa"/>
            <w:vMerge/>
            <w:tcBorders>
              <w:bottom w:val="nil"/>
            </w:tcBorders>
          </w:tcPr>
          <w:p w14:paraId="644F5CE4" w14:textId="77777777" w:rsidR="006B7C49" w:rsidRPr="00D613A6" w:rsidRDefault="006B7C49" w:rsidP="004E28A8">
            <w:pPr>
              <w:pStyle w:val="Pamatteksts1"/>
              <w:spacing w:before="60" w:after="60"/>
              <w:ind w:left="-107" w:right="-105" w:firstLine="0"/>
              <w:jc w:val="center"/>
              <w:rPr>
                <w:b/>
                <w:color w:val="17365D"/>
                <w:sz w:val="20"/>
                <w:szCs w:val="20"/>
              </w:rPr>
            </w:pPr>
          </w:p>
        </w:tc>
        <w:tc>
          <w:tcPr>
            <w:tcW w:w="1317" w:type="dxa"/>
            <w:vMerge/>
            <w:tcBorders>
              <w:bottom w:val="nil"/>
            </w:tcBorders>
          </w:tcPr>
          <w:p w14:paraId="53AB87F8" w14:textId="77777777" w:rsidR="006B7C49" w:rsidRPr="00D613A6" w:rsidRDefault="006B7C49" w:rsidP="0019052E">
            <w:pPr>
              <w:spacing w:after="0"/>
              <w:ind w:firstLine="0"/>
              <w:rPr>
                <w:color w:val="17365D"/>
                <w:sz w:val="20"/>
                <w:szCs w:val="20"/>
              </w:rPr>
            </w:pPr>
          </w:p>
        </w:tc>
      </w:tr>
      <w:tr w:rsidR="00D613A6" w:rsidRPr="00D613A6" w14:paraId="26E4B30A" w14:textId="77777777" w:rsidTr="007D0CB2">
        <w:trPr>
          <w:trHeight w:val="284"/>
          <w:tblHeader/>
        </w:trPr>
        <w:tc>
          <w:tcPr>
            <w:tcW w:w="904" w:type="dxa"/>
            <w:tcBorders>
              <w:top w:val="nil"/>
              <w:bottom w:val="single" w:sz="4" w:space="0" w:color="17365D"/>
            </w:tcBorders>
            <w:vAlign w:val="center"/>
          </w:tcPr>
          <w:p w14:paraId="77BDE621" w14:textId="7777777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A</w:t>
            </w:r>
          </w:p>
        </w:tc>
        <w:tc>
          <w:tcPr>
            <w:tcW w:w="2566" w:type="dxa"/>
            <w:tcBorders>
              <w:top w:val="nil"/>
              <w:bottom w:val="single" w:sz="4" w:space="0" w:color="17365D"/>
            </w:tcBorders>
            <w:vAlign w:val="center"/>
          </w:tcPr>
          <w:p w14:paraId="4B327600" w14:textId="7777777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vAlign w:val="center"/>
          </w:tcPr>
          <w:p w14:paraId="646ED2DF" w14:textId="0C9CF018"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vAlign w:val="center"/>
          </w:tcPr>
          <w:p w14:paraId="0A9C93BA" w14:textId="13720FB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2</w:t>
            </w:r>
          </w:p>
        </w:tc>
        <w:tc>
          <w:tcPr>
            <w:tcW w:w="1634" w:type="dxa"/>
            <w:tcBorders>
              <w:top w:val="nil"/>
              <w:bottom w:val="single" w:sz="4" w:space="0" w:color="17365D"/>
            </w:tcBorders>
            <w:vAlign w:val="center"/>
          </w:tcPr>
          <w:p w14:paraId="33DBEA76" w14:textId="62654979"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17" w:type="dxa"/>
            <w:tcBorders>
              <w:top w:val="nil"/>
              <w:bottom w:val="single" w:sz="4" w:space="0" w:color="17365D"/>
            </w:tcBorders>
            <w:vAlign w:val="center"/>
          </w:tcPr>
          <w:p w14:paraId="16BE8AEF" w14:textId="2F72F85A"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1D4F174" w14:textId="77777777" w:rsidTr="00856306">
        <w:trPr>
          <w:trHeight w:val="284"/>
        </w:trPr>
        <w:tc>
          <w:tcPr>
            <w:tcW w:w="904" w:type="dxa"/>
            <w:tcBorders>
              <w:top w:val="single" w:sz="4" w:space="0" w:color="17365D"/>
              <w:bottom w:val="single" w:sz="4" w:space="0" w:color="17365D"/>
            </w:tcBorders>
            <w:vAlign w:val="center"/>
          </w:tcPr>
          <w:p w14:paraId="7D5749BD" w14:textId="3C96C3E9" w:rsidR="00FF7920" w:rsidRPr="00D613A6" w:rsidRDefault="00FF7920" w:rsidP="00FF7920">
            <w:pPr>
              <w:pStyle w:val="Pamatteksts1"/>
              <w:spacing w:before="40" w:after="40"/>
              <w:ind w:firstLine="0"/>
              <w:jc w:val="left"/>
              <w:rPr>
                <w:b/>
                <w:color w:val="17365D"/>
                <w:sz w:val="20"/>
                <w:szCs w:val="20"/>
              </w:rPr>
            </w:pPr>
            <w:r w:rsidRPr="00D613A6">
              <w:rPr>
                <w:b/>
                <w:color w:val="17365D"/>
                <w:sz w:val="20"/>
                <w:szCs w:val="20"/>
              </w:rPr>
              <w:t>II.</w:t>
            </w:r>
          </w:p>
        </w:tc>
        <w:tc>
          <w:tcPr>
            <w:tcW w:w="2566" w:type="dxa"/>
            <w:tcBorders>
              <w:top w:val="single" w:sz="4" w:space="0" w:color="17365D"/>
              <w:bottom w:val="single" w:sz="4" w:space="0" w:color="17365D"/>
            </w:tcBorders>
            <w:shd w:val="clear" w:color="000000" w:fill="FFFFFF"/>
            <w:vAlign w:val="center"/>
          </w:tcPr>
          <w:p w14:paraId="18B4E594" w14:textId="77777777" w:rsidR="00FF7920" w:rsidRPr="00D613A6" w:rsidRDefault="00FF7920" w:rsidP="00FF7920">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99B43F5" w14:textId="00601E32"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600 549 199</w:t>
            </w:r>
          </w:p>
        </w:tc>
        <w:tc>
          <w:tcPr>
            <w:tcW w:w="1482" w:type="dxa"/>
            <w:tcBorders>
              <w:top w:val="single" w:sz="4" w:space="0" w:color="17365D"/>
              <w:left w:val="nil"/>
              <w:bottom w:val="single" w:sz="4" w:space="0" w:color="17365D"/>
              <w:right w:val="nil"/>
            </w:tcBorders>
            <w:shd w:val="clear" w:color="000000" w:fill="FFFFFF"/>
            <w:vAlign w:val="center"/>
          </w:tcPr>
          <w:p w14:paraId="748AC9DE" w14:textId="3E38E29C"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589 776 577</w:t>
            </w:r>
          </w:p>
        </w:tc>
        <w:tc>
          <w:tcPr>
            <w:tcW w:w="1634" w:type="dxa"/>
            <w:tcBorders>
              <w:top w:val="single" w:sz="4" w:space="0" w:color="17365D"/>
              <w:left w:val="nil"/>
              <w:bottom w:val="single" w:sz="4" w:space="0" w:color="17365D"/>
              <w:right w:val="nil"/>
            </w:tcBorders>
            <w:shd w:val="clear" w:color="000000" w:fill="FFFFFF"/>
            <w:vAlign w:val="center"/>
          </w:tcPr>
          <w:p w14:paraId="0B6F4EE0" w14:textId="25549DC1" w:rsidR="00FF7920" w:rsidRPr="00D613A6" w:rsidRDefault="00FF7920" w:rsidP="00FF7920">
            <w:pPr>
              <w:pStyle w:val="Pamatteksts1"/>
              <w:spacing w:before="60" w:after="60"/>
              <w:ind w:left="-107" w:right="-105" w:firstLine="0"/>
              <w:jc w:val="right"/>
              <w:rPr>
                <w:b/>
                <w:color w:val="17365D"/>
                <w:sz w:val="20"/>
                <w:szCs w:val="20"/>
              </w:rPr>
            </w:pPr>
            <w:r w:rsidRPr="00D613A6">
              <w:rPr>
                <w:b/>
                <w:color w:val="17365D"/>
                <w:sz w:val="20"/>
                <w:szCs w:val="20"/>
              </w:rPr>
              <w:t>10 772 622</w:t>
            </w:r>
          </w:p>
        </w:tc>
        <w:tc>
          <w:tcPr>
            <w:tcW w:w="1317" w:type="dxa"/>
            <w:tcBorders>
              <w:top w:val="single" w:sz="4" w:space="0" w:color="17365D"/>
              <w:left w:val="nil"/>
              <w:bottom w:val="single" w:sz="4" w:space="0" w:color="17365D"/>
              <w:right w:val="nil"/>
            </w:tcBorders>
            <w:shd w:val="clear" w:color="000000" w:fill="FFFFFF"/>
            <w:vAlign w:val="center"/>
          </w:tcPr>
          <w:p w14:paraId="4831995A" w14:textId="268E8098" w:rsidR="00FF7920" w:rsidRPr="00D613A6" w:rsidRDefault="00056298" w:rsidP="00FF7920">
            <w:pPr>
              <w:pStyle w:val="Pamatteksts1"/>
              <w:spacing w:before="40" w:after="40"/>
              <w:ind w:firstLine="0"/>
              <w:jc w:val="right"/>
              <w:rPr>
                <w:b/>
                <w:color w:val="17365D"/>
                <w:sz w:val="20"/>
                <w:szCs w:val="20"/>
              </w:rPr>
            </w:pPr>
            <w:r w:rsidRPr="00D613A6">
              <w:rPr>
                <w:b/>
                <w:color w:val="17365D"/>
                <w:sz w:val="20"/>
                <w:szCs w:val="20"/>
              </w:rPr>
              <w:t>1.83</w:t>
            </w:r>
          </w:p>
        </w:tc>
      </w:tr>
      <w:tr w:rsidR="00D613A6" w:rsidRPr="00D613A6" w14:paraId="49BB6883" w14:textId="77777777" w:rsidTr="00856306">
        <w:trPr>
          <w:trHeight w:val="284"/>
        </w:trPr>
        <w:tc>
          <w:tcPr>
            <w:tcW w:w="904" w:type="dxa"/>
            <w:tcBorders>
              <w:top w:val="single" w:sz="4" w:space="0" w:color="17365D"/>
              <w:bottom w:val="single" w:sz="4" w:space="0" w:color="17365D"/>
            </w:tcBorders>
            <w:vAlign w:val="center"/>
          </w:tcPr>
          <w:p w14:paraId="17D74DCE" w14:textId="1BD21D93" w:rsidR="00FF7920" w:rsidRPr="00D613A6" w:rsidRDefault="00FF7920" w:rsidP="00FF7920">
            <w:pPr>
              <w:spacing w:before="40" w:after="40"/>
              <w:ind w:firstLine="0"/>
              <w:jc w:val="left"/>
              <w:rPr>
                <w:b/>
                <w:bCs/>
                <w:color w:val="17365D"/>
                <w:sz w:val="20"/>
                <w:szCs w:val="20"/>
              </w:rPr>
            </w:pPr>
            <w:r w:rsidRPr="00D613A6">
              <w:rPr>
                <w:b/>
                <w:bCs/>
                <w:color w:val="17365D"/>
                <w:sz w:val="20"/>
                <w:szCs w:val="20"/>
              </w:rPr>
              <w:t>1.0.</w:t>
            </w:r>
          </w:p>
        </w:tc>
        <w:tc>
          <w:tcPr>
            <w:tcW w:w="2566" w:type="dxa"/>
            <w:tcBorders>
              <w:top w:val="single" w:sz="4" w:space="0" w:color="17365D"/>
              <w:bottom w:val="single" w:sz="4" w:space="0" w:color="17365D"/>
            </w:tcBorders>
            <w:shd w:val="clear" w:color="000000" w:fill="FFFFFF"/>
            <w:vAlign w:val="center"/>
          </w:tcPr>
          <w:p w14:paraId="39D09D4C" w14:textId="77777777" w:rsidR="00FF7920" w:rsidRPr="00D613A6" w:rsidRDefault="00FF7920" w:rsidP="00FF7920">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000000" w:fill="FFFFFF"/>
            <w:vAlign w:val="center"/>
          </w:tcPr>
          <w:p w14:paraId="0E91A4D4" w14:textId="4D6B81B8"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558 177 986</w:t>
            </w:r>
          </w:p>
        </w:tc>
        <w:tc>
          <w:tcPr>
            <w:tcW w:w="1482" w:type="dxa"/>
            <w:tcBorders>
              <w:top w:val="single" w:sz="4" w:space="0" w:color="17365D"/>
              <w:left w:val="nil"/>
              <w:bottom w:val="single" w:sz="4" w:space="0" w:color="17365D"/>
              <w:right w:val="nil"/>
            </w:tcBorders>
            <w:shd w:val="clear" w:color="000000" w:fill="FFFFFF"/>
            <w:vAlign w:val="center"/>
          </w:tcPr>
          <w:p w14:paraId="046D2393" w14:textId="4C9497DA"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527 528 876</w:t>
            </w:r>
          </w:p>
        </w:tc>
        <w:tc>
          <w:tcPr>
            <w:tcW w:w="1634" w:type="dxa"/>
            <w:tcBorders>
              <w:top w:val="single" w:sz="4" w:space="0" w:color="17365D"/>
              <w:left w:val="nil"/>
              <w:bottom w:val="single" w:sz="4" w:space="0" w:color="17365D"/>
              <w:right w:val="nil"/>
            </w:tcBorders>
            <w:shd w:val="clear" w:color="000000" w:fill="FFFFFF"/>
            <w:vAlign w:val="center"/>
          </w:tcPr>
          <w:p w14:paraId="69FA679C" w14:textId="7716F0D4" w:rsidR="00FF7920" w:rsidRPr="00D613A6" w:rsidRDefault="00FF7920" w:rsidP="00FF7920">
            <w:pPr>
              <w:pStyle w:val="Pamatteksts1"/>
              <w:spacing w:before="60" w:after="60"/>
              <w:ind w:left="-107" w:right="-105" w:firstLine="0"/>
              <w:jc w:val="right"/>
              <w:rPr>
                <w:b/>
                <w:color w:val="17365D"/>
                <w:sz w:val="20"/>
                <w:szCs w:val="20"/>
              </w:rPr>
            </w:pPr>
            <w:r w:rsidRPr="00D613A6">
              <w:rPr>
                <w:b/>
                <w:color w:val="17365D"/>
                <w:sz w:val="20"/>
                <w:szCs w:val="20"/>
              </w:rPr>
              <w:t>30 649 110</w:t>
            </w:r>
          </w:p>
        </w:tc>
        <w:tc>
          <w:tcPr>
            <w:tcW w:w="1317" w:type="dxa"/>
            <w:tcBorders>
              <w:top w:val="single" w:sz="4" w:space="0" w:color="17365D"/>
              <w:left w:val="nil"/>
              <w:bottom w:val="single" w:sz="4" w:space="0" w:color="17365D"/>
              <w:right w:val="nil"/>
            </w:tcBorders>
            <w:shd w:val="clear" w:color="000000" w:fill="FFFFFF"/>
            <w:vAlign w:val="center"/>
          </w:tcPr>
          <w:p w14:paraId="4665C821" w14:textId="1DA4E6AC" w:rsidR="00FF7920" w:rsidRPr="00D613A6" w:rsidRDefault="00056298" w:rsidP="00056298">
            <w:pPr>
              <w:pStyle w:val="Pamatteksts1"/>
              <w:spacing w:before="40" w:after="40"/>
              <w:ind w:firstLine="0"/>
              <w:jc w:val="right"/>
              <w:rPr>
                <w:b/>
                <w:color w:val="17365D"/>
                <w:sz w:val="20"/>
                <w:szCs w:val="20"/>
              </w:rPr>
            </w:pPr>
            <w:r w:rsidRPr="00D613A6">
              <w:rPr>
                <w:b/>
                <w:color w:val="17365D"/>
                <w:sz w:val="20"/>
                <w:szCs w:val="20"/>
              </w:rPr>
              <w:t>5</w:t>
            </w:r>
            <w:r w:rsidR="00FF7920" w:rsidRPr="00D613A6">
              <w:rPr>
                <w:b/>
                <w:color w:val="17365D"/>
                <w:sz w:val="20"/>
                <w:szCs w:val="20"/>
              </w:rPr>
              <w:t>.</w:t>
            </w:r>
            <w:r w:rsidRPr="00D613A6">
              <w:rPr>
                <w:b/>
                <w:color w:val="17365D"/>
                <w:sz w:val="20"/>
                <w:szCs w:val="20"/>
              </w:rPr>
              <w:t>81</w:t>
            </w:r>
          </w:p>
        </w:tc>
      </w:tr>
      <w:tr w:rsidR="00D613A6" w:rsidRPr="00D613A6" w14:paraId="61E22767" w14:textId="77777777" w:rsidTr="00856306">
        <w:trPr>
          <w:trHeight w:val="284"/>
        </w:trPr>
        <w:tc>
          <w:tcPr>
            <w:tcW w:w="904" w:type="dxa"/>
            <w:tcBorders>
              <w:top w:val="single" w:sz="4" w:space="0" w:color="17365D"/>
              <w:bottom w:val="single" w:sz="4" w:space="0" w:color="17365D"/>
            </w:tcBorders>
            <w:vAlign w:val="center"/>
          </w:tcPr>
          <w:p w14:paraId="35A55137" w14:textId="2F2F5FDC"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1.1.</w:t>
            </w:r>
          </w:p>
        </w:tc>
        <w:tc>
          <w:tcPr>
            <w:tcW w:w="2566" w:type="dxa"/>
            <w:tcBorders>
              <w:top w:val="single" w:sz="4" w:space="0" w:color="17365D"/>
              <w:bottom w:val="single" w:sz="4" w:space="0" w:color="17365D"/>
            </w:tcBorders>
            <w:shd w:val="clear" w:color="000000" w:fill="FFFFFF"/>
            <w:vAlign w:val="center"/>
          </w:tcPr>
          <w:p w14:paraId="22298CD7"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000000" w:fill="FFFFFF"/>
            <w:vAlign w:val="center"/>
          </w:tcPr>
          <w:p w14:paraId="22BC6966" w14:textId="5F15775D"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482 341 722</w:t>
            </w:r>
          </w:p>
        </w:tc>
        <w:tc>
          <w:tcPr>
            <w:tcW w:w="1482" w:type="dxa"/>
            <w:tcBorders>
              <w:top w:val="single" w:sz="4" w:space="0" w:color="17365D"/>
              <w:left w:val="nil"/>
              <w:bottom w:val="single" w:sz="4" w:space="0" w:color="17365D"/>
              <w:right w:val="nil"/>
            </w:tcBorders>
            <w:shd w:val="clear" w:color="000000" w:fill="FFFFFF"/>
            <w:vAlign w:val="center"/>
          </w:tcPr>
          <w:p w14:paraId="312440A0" w14:textId="39D14710"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452 102 818</w:t>
            </w:r>
          </w:p>
        </w:tc>
        <w:tc>
          <w:tcPr>
            <w:tcW w:w="1634" w:type="dxa"/>
            <w:tcBorders>
              <w:top w:val="single" w:sz="4" w:space="0" w:color="17365D"/>
              <w:left w:val="nil"/>
              <w:bottom w:val="single" w:sz="4" w:space="0" w:color="17365D"/>
              <w:right w:val="nil"/>
            </w:tcBorders>
            <w:shd w:val="clear" w:color="000000" w:fill="FFFFFF"/>
            <w:vAlign w:val="center"/>
          </w:tcPr>
          <w:p w14:paraId="56D01A68" w14:textId="494403E4" w:rsidR="00FF7920" w:rsidRPr="00D613A6" w:rsidRDefault="00FF7920" w:rsidP="00FF7920">
            <w:pPr>
              <w:pStyle w:val="Pamatteksts1"/>
              <w:spacing w:before="60" w:after="60"/>
              <w:ind w:left="-107" w:right="-105" w:firstLine="0"/>
              <w:jc w:val="right"/>
              <w:rPr>
                <w:color w:val="17365D"/>
                <w:sz w:val="20"/>
                <w:szCs w:val="20"/>
              </w:rPr>
            </w:pPr>
            <w:r w:rsidRPr="00D613A6">
              <w:rPr>
                <w:color w:val="17365D"/>
                <w:sz w:val="20"/>
                <w:szCs w:val="20"/>
              </w:rPr>
              <w:t>40 240 230</w:t>
            </w:r>
          </w:p>
        </w:tc>
        <w:tc>
          <w:tcPr>
            <w:tcW w:w="1317" w:type="dxa"/>
            <w:tcBorders>
              <w:top w:val="single" w:sz="4" w:space="0" w:color="17365D"/>
              <w:left w:val="nil"/>
              <w:bottom w:val="single" w:sz="4" w:space="0" w:color="17365D"/>
              <w:right w:val="nil"/>
            </w:tcBorders>
            <w:shd w:val="clear" w:color="000000" w:fill="FFFFFF"/>
            <w:vAlign w:val="center"/>
          </w:tcPr>
          <w:p w14:paraId="0891F149" w14:textId="6D3BCA1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6</w:t>
            </w:r>
            <w:r w:rsidR="00FF7920" w:rsidRPr="00D613A6">
              <w:rPr>
                <w:color w:val="17365D"/>
                <w:sz w:val="20"/>
                <w:szCs w:val="20"/>
              </w:rPr>
              <w:t>.</w:t>
            </w:r>
            <w:r w:rsidRPr="00D613A6">
              <w:rPr>
                <w:color w:val="17365D"/>
                <w:sz w:val="20"/>
                <w:szCs w:val="20"/>
              </w:rPr>
              <w:t>69</w:t>
            </w:r>
          </w:p>
        </w:tc>
      </w:tr>
      <w:tr w:rsidR="00D613A6" w:rsidRPr="00D613A6" w14:paraId="683CD639" w14:textId="77777777" w:rsidTr="00856306">
        <w:trPr>
          <w:trHeight w:val="284"/>
        </w:trPr>
        <w:tc>
          <w:tcPr>
            <w:tcW w:w="904" w:type="dxa"/>
            <w:tcBorders>
              <w:top w:val="single" w:sz="4" w:space="0" w:color="17365D"/>
              <w:bottom w:val="single" w:sz="4" w:space="0" w:color="17365D"/>
            </w:tcBorders>
            <w:vAlign w:val="center"/>
          </w:tcPr>
          <w:p w14:paraId="3C0E88DD"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1.2.</w:t>
            </w:r>
          </w:p>
        </w:tc>
        <w:tc>
          <w:tcPr>
            <w:tcW w:w="2566" w:type="dxa"/>
            <w:tcBorders>
              <w:top w:val="single" w:sz="4" w:space="0" w:color="17365D"/>
              <w:bottom w:val="single" w:sz="4" w:space="0" w:color="17365D"/>
            </w:tcBorders>
            <w:shd w:val="clear" w:color="000000" w:fill="FFFFFF"/>
            <w:vAlign w:val="center"/>
          </w:tcPr>
          <w:p w14:paraId="14A55616" w14:textId="77777777" w:rsidR="00FF7920" w:rsidRPr="00D613A6" w:rsidRDefault="00FF7920" w:rsidP="00FF7920">
            <w:pPr>
              <w:pStyle w:val="Pamatteksts1"/>
              <w:spacing w:before="40" w:after="40"/>
              <w:ind w:firstLine="0"/>
              <w:jc w:val="left"/>
              <w:rPr>
                <w:bCs/>
                <w:color w:val="17365D"/>
                <w:sz w:val="20"/>
                <w:szCs w:val="20"/>
              </w:rPr>
            </w:pPr>
            <w:r w:rsidRPr="00D613A6">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000000" w:fill="FFFFFF"/>
            <w:vAlign w:val="center"/>
          </w:tcPr>
          <w:p w14:paraId="70EF210D" w14:textId="0D1C9D20"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1 858 623</w:t>
            </w:r>
          </w:p>
        </w:tc>
        <w:tc>
          <w:tcPr>
            <w:tcW w:w="1482" w:type="dxa"/>
            <w:tcBorders>
              <w:top w:val="single" w:sz="4" w:space="0" w:color="17365D"/>
              <w:left w:val="nil"/>
              <w:bottom w:val="single" w:sz="4" w:space="0" w:color="17365D"/>
              <w:right w:val="nil"/>
            </w:tcBorders>
            <w:shd w:val="clear" w:color="000000" w:fill="FFFFFF"/>
            <w:vAlign w:val="center"/>
          </w:tcPr>
          <w:p w14:paraId="20D3ED61" w14:textId="116C89DD"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1 658 350</w:t>
            </w:r>
          </w:p>
        </w:tc>
        <w:tc>
          <w:tcPr>
            <w:tcW w:w="1634" w:type="dxa"/>
            <w:tcBorders>
              <w:top w:val="single" w:sz="4" w:space="0" w:color="17365D"/>
              <w:left w:val="nil"/>
              <w:bottom w:val="single" w:sz="4" w:space="0" w:color="17365D"/>
              <w:right w:val="nil"/>
            </w:tcBorders>
            <w:shd w:val="clear" w:color="000000" w:fill="FFFFFF"/>
            <w:vAlign w:val="center"/>
          </w:tcPr>
          <w:p w14:paraId="7D466D3D" w14:textId="4D65E55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200</w:t>
            </w:r>
            <w:r w:rsidR="00FF7920" w:rsidRPr="00D613A6">
              <w:rPr>
                <w:color w:val="17365D"/>
                <w:sz w:val="20"/>
                <w:szCs w:val="20"/>
              </w:rPr>
              <w:t xml:space="preserve"> </w:t>
            </w:r>
            <w:r w:rsidRPr="00D613A6">
              <w:rPr>
                <w:color w:val="17365D"/>
                <w:sz w:val="20"/>
                <w:szCs w:val="20"/>
              </w:rPr>
              <w:t>273</w:t>
            </w:r>
          </w:p>
        </w:tc>
        <w:tc>
          <w:tcPr>
            <w:tcW w:w="1317" w:type="dxa"/>
            <w:tcBorders>
              <w:top w:val="single" w:sz="4" w:space="0" w:color="17365D"/>
              <w:left w:val="nil"/>
              <w:bottom w:val="single" w:sz="4" w:space="0" w:color="17365D"/>
              <w:right w:val="nil"/>
            </w:tcBorders>
            <w:shd w:val="clear" w:color="000000" w:fill="FFFFFF"/>
            <w:vAlign w:val="center"/>
          </w:tcPr>
          <w:p w14:paraId="11D9B68C" w14:textId="722524F8" w:rsidR="00FF7920" w:rsidRPr="00D613A6" w:rsidRDefault="00FF7920" w:rsidP="00056298">
            <w:pPr>
              <w:pStyle w:val="Pamatteksts1"/>
              <w:spacing w:before="40" w:after="40"/>
              <w:ind w:firstLine="0"/>
              <w:jc w:val="right"/>
              <w:rPr>
                <w:color w:val="17365D"/>
                <w:sz w:val="20"/>
                <w:szCs w:val="20"/>
              </w:rPr>
            </w:pPr>
            <w:r w:rsidRPr="00D613A6">
              <w:rPr>
                <w:color w:val="17365D"/>
                <w:sz w:val="20"/>
                <w:szCs w:val="20"/>
              </w:rPr>
              <w:t>1</w:t>
            </w:r>
            <w:r w:rsidR="00056298" w:rsidRPr="00D613A6">
              <w:rPr>
                <w:color w:val="17365D"/>
                <w:sz w:val="20"/>
                <w:szCs w:val="20"/>
              </w:rPr>
              <w:t>2</w:t>
            </w:r>
            <w:r w:rsidRPr="00D613A6">
              <w:rPr>
                <w:color w:val="17365D"/>
                <w:sz w:val="20"/>
                <w:szCs w:val="20"/>
              </w:rPr>
              <w:t>.</w:t>
            </w:r>
            <w:r w:rsidR="00056298" w:rsidRPr="00D613A6">
              <w:rPr>
                <w:color w:val="17365D"/>
                <w:sz w:val="20"/>
                <w:szCs w:val="20"/>
              </w:rPr>
              <w:t>08</w:t>
            </w:r>
          </w:p>
        </w:tc>
      </w:tr>
      <w:tr w:rsidR="00D613A6" w:rsidRPr="00D613A6" w14:paraId="00538F77" w14:textId="77777777" w:rsidTr="00856306">
        <w:trPr>
          <w:trHeight w:val="284"/>
        </w:trPr>
        <w:tc>
          <w:tcPr>
            <w:tcW w:w="904" w:type="dxa"/>
            <w:tcBorders>
              <w:top w:val="single" w:sz="4" w:space="0" w:color="17365D"/>
              <w:bottom w:val="single" w:sz="4" w:space="0" w:color="17365D"/>
            </w:tcBorders>
            <w:vAlign w:val="center"/>
          </w:tcPr>
          <w:p w14:paraId="00F33FD9" w14:textId="6BF2237A"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1.3.</w:t>
            </w:r>
          </w:p>
        </w:tc>
        <w:tc>
          <w:tcPr>
            <w:tcW w:w="2566" w:type="dxa"/>
            <w:tcBorders>
              <w:top w:val="single" w:sz="4" w:space="0" w:color="17365D"/>
              <w:bottom w:val="single" w:sz="4" w:space="0" w:color="17365D"/>
            </w:tcBorders>
            <w:shd w:val="clear" w:color="000000" w:fill="FFFFFF"/>
            <w:vAlign w:val="center"/>
          </w:tcPr>
          <w:p w14:paraId="0EE513F8" w14:textId="183E24D2" w:rsidR="00FF7920" w:rsidRPr="00D613A6" w:rsidRDefault="00427E2E" w:rsidP="00FF7920">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82" w:type="dxa"/>
            <w:tcBorders>
              <w:top w:val="single" w:sz="4" w:space="0" w:color="17365D"/>
              <w:left w:val="nil"/>
              <w:bottom w:val="single" w:sz="4" w:space="0" w:color="17365D"/>
              <w:right w:val="nil"/>
            </w:tcBorders>
            <w:shd w:val="clear" w:color="000000" w:fill="FFFFFF"/>
            <w:vAlign w:val="center"/>
          </w:tcPr>
          <w:p w14:paraId="129C046C" w14:textId="0ECE1BB9"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32 563 475</w:t>
            </w:r>
          </w:p>
        </w:tc>
        <w:tc>
          <w:tcPr>
            <w:tcW w:w="1482" w:type="dxa"/>
            <w:tcBorders>
              <w:top w:val="single" w:sz="4" w:space="0" w:color="17365D"/>
              <w:left w:val="nil"/>
              <w:bottom w:val="single" w:sz="4" w:space="0" w:color="17365D"/>
              <w:right w:val="nil"/>
            </w:tcBorders>
            <w:shd w:val="clear" w:color="000000" w:fill="FFFFFF"/>
            <w:vAlign w:val="center"/>
          </w:tcPr>
          <w:p w14:paraId="06626F37" w14:textId="4D7F5088"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31 417 781</w:t>
            </w:r>
          </w:p>
        </w:tc>
        <w:tc>
          <w:tcPr>
            <w:tcW w:w="1634" w:type="dxa"/>
            <w:tcBorders>
              <w:top w:val="single" w:sz="4" w:space="0" w:color="17365D"/>
              <w:left w:val="nil"/>
              <w:bottom w:val="single" w:sz="4" w:space="0" w:color="17365D"/>
              <w:right w:val="nil"/>
            </w:tcBorders>
            <w:shd w:val="clear" w:color="000000" w:fill="FFFFFF"/>
            <w:vAlign w:val="center"/>
          </w:tcPr>
          <w:p w14:paraId="09514B81" w14:textId="25D6B4F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w:t>
            </w:r>
            <w:r w:rsidR="00FF7920" w:rsidRPr="00D613A6">
              <w:rPr>
                <w:color w:val="17365D"/>
                <w:sz w:val="20"/>
                <w:szCs w:val="20"/>
              </w:rPr>
              <w:t xml:space="preserve"> </w:t>
            </w:r>
            <w:r w:rsidRPr="00D613A6">
              <w:rPr>
                <w:color w:val="17365D"/>
                <w:sz w:val="20"/>
                <w:szCs w:val="20"/>
              </w:rPr>
              <w:t>145</w:t>
            </w:r>
            <w:r w:rsidR="00FF7920" w:rsidRPr="00D613A6">
              <w:rPr>
                <w:color w:val="17365D"/>
                <w:sz w:val="20"/>
                <w:szCs w:val="20"/>
              </w:rPr>
              <w:t xml:space="preserve"> </w:t>
            </w:r>
            <w:r w:rsidRPr="00D613A6">
              <w:rPr>
                <w:color w:val="17365D"/>
                <w:sz w:val="20"/>
                <w:szCs w:val="20"/>
              </w:rPr>
              <w:t>694</w:t>
            </w:r>
          </w:p>
        </w:tc>
        <w:tc>
          <w:tcPr>
            <w:tcW w:w="1317" w:type="dxa"/>
            <w:tcBorders>
              <w:top w:val="single" w:sz="4" w:space="0" w:color="17365D"/>
              <w:left w:val="nil"/>
              <w:bottom w:val="single" w:sz="4" w:space="0" w:color="17365D"/>
              <w:right w:val="nil"/>
            </w:tcBorders>
            <w:shd w:val="clear" w:color="000000" w:fill="FFFFFF"/>
            <w:vAlign w:val="center"/>
          </w:tcPr>
          <w:p w14:paraId="0ECA4206" w14:textId="5A772D2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3</w:t>
            </w:r>
            <w:r w:rsidR="00FF7920" w:rsidRPr="00D613A6">
              <w:rPr>
                <w:color w:val="17365D"/>
                <w:sz w:val="20"/>
                <w:szCs w:val="20"/>
              </w:rPr>
              <w:t>.</w:t>
            </w:r>
            <w:r w:rsidRPr="00D613A6">
              <w:rPr>
                <w:color w:val="17365D"/>
                <w:sz w:val="20"/>
                <w:szCs w:val="20"/>
              </w:rPr>
              <w:t>65</w:t>
            </w:r>
          </w:p>
        </w:tc>
      </w:tr>
      <w:tr w:rsidR="00D613A6" w:rsidRPr="00D613A6" w14:paraId="4F7A3BE4" w14:textId="77777777" w:rsidTr="00856306">
        <w:trPr>
          <w:trHeight w:val="284"/>
        </w:trPr>
        <w:tc>
          <w:tcPr>
            <w:tcW w:w="904" w:type="dxa"/>
            <w:tcBorders>
              <w:top w:val="single" w:sz="4" w:space="0" w:color="17365D"/>
              <w:bottom w:val="single" w:sz="4" w:space="0" w:color="17365D"/>
            </w:tcBorders>
            <w:vAlign w:val="center"/>
          </w:tcPr>
          <w:p w14:paraId="20B36CF3"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7000</w:t>
            </w:r>
          </w:p>
        </w:tc>
        <w:tc>
          <w:tcPr>
            <w:tcW w:w="2566" w:type="dxa"/>
            <w:tcBorders>
              <w:top w:val="single" w:sz="4" w:space="0" w:color="17365D"/>
              <w:bottom w:val="single" w:sz="4" w:space="0" w:color="17365D"/>
            </w:tcBorders>
            <w:shd w:val="clear" w:color="000000" w:fill="FFFFFF"/>
            <w:vAlign w:val="center"/>
          </w:tcPr>
          <w:p w14:paraId="1E6759E8"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w:t>
            </w:r>
            <w:r w:rsidRPr="00D613A6">
              <w:rPr>
                <w:color w:val="17365D"/>
                <w:sz w:val="20"/>
                <w:szCs w:val="20"/>
              </w:rPr>
              <w:lastRenderedPageBreak/>
              <w:t xml:space="preserve">resursu maksājumi, starptautiskā sadarbība </w:t>
            </w:r>
          </w:p>
        </w:tc>
        <w:tc>
          <w:tcPr>
            <w:tcW w:w="1482" w:type="dxa"/>
            <w:tcBorders>
              <w:top w:val="single" w:sz="4" w:space="0" w:color="17365D"/>
              <w:left w:val="nil"/>
              <w:bottom w:val="single" w:sz="4" w:space="0" w:color="17365D"/>
              <w:right w:val="nil"/>
            </w:tcBorders>
            <w:shd w:val="clear" w:color="000000" w:fill="FFFFFF"/>
            <w:vAlign w:val="center"/>
          </w:tcPr>
          <w:p w14:paraId="6DCBCFDB" w14:textId="3DA0323E"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lastRenderedPageBreak/>
              <w:t>41 414 166</w:t>
            </w:r>
          </w:p>
        </w:tc>
        <w:tc>
          <w:tcPr>
            <w:tcW w:w="1482" w:type="dxa"/>
            <w:tcBorders>
              <w:top w:val="single" w:sz="4" w:space="0" w:color="17365D"/>
              <w:left w:val="nil"/>
              <w:bottom w:val="single" w:sz="4" w:space="0" w:color="17365D"/>
              <w:right w:val="nil"/>
            </w:tcBorders>
            <w:shd w:val="clear" w:color="000000" w:fill="FFFFFF"/>
            <w:vAlign w:val="center"/>
          </w:tcPr>
          <w:p w14:paraId="3EF1F1CE" w14:textId="69EB18D6"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42 349 927</w:t>
            </w:r>
          </w:p>
        </w:tc>
        <w:tc>
          <w:tcPr>
            <w:tcW w:w="1634" w:type="dxa"/>
            <w:tcBorders>
              <w:top w:val="single" w:sz="4" w:space="0" w:color="17365D"/>
              <w:left w:val="nil"/>
              <w:bottom w:val="single" w:sz="4" w:space="0" w:color="17365D"/>
              <w:right w:val="nil"/>
            </w:tcBorders>
            <w:shd w:val="clear" w:color="000000" w:fill="FFFFFF"/>
            <w:vAlign w:val="center"/>
          </w:tcPr>
          <w:p w14:paraId="62D63F61" w14:textId="2AD718B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-935</w:t>
            </w:r>
            <w:r w:rsidR="00FF7920" w:rsidRPr="00D613A6">
              <w:rPr>
                <w:color w:val="17365D"/>
                <w:sz w:val="20"/>
                <w:szCs w:val="20"/>
              </w:rPr>
              <w:t xml:space="preserve"> </w:t>
            </w:r>
            <w:r w:rsidRPr="00D613A6">
              <w:rPr>
                <w:color w:val="17365D"/>
                <w:sz w:val="20"/>
                <w:szCs w:val="20"/>
              </w:rPr>
              <w:t>761</w:t>
            </w:r>
          </w:p>
        </w:tc>
        <w:tc>
          <w:tcPr>
            <w:tcW w:w="1317" w:type="dxa"/>
            <w:tcBorders>
              <w:top w:val="single" w:sz="4" w:space="0" w:color="17365D"/>
              <w:left w:val="nil"/>
              <w:bottom w:val="single" w:sz="4" w:space="0" w:color="17365D"/>
              <w:right w:val="nil"/>
            </w:tcBorders>
            <w:shd w:val="clear" w:color="000000" w:fill="FFFFFF"/>
            <w:vAlign w:val="center"/>
          </w:tcPr>
          <w:p w14:paraId="504A5A62" w14:textId="622282AA"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-2</w:t>
            </w:r>
            <w:r w:rsidR="00FF7920" w:rsidRPr="00D613A6">
              <w:rPr>
                <w:color w:val="17365D"/>
                <w:sz w:val="20"/>
                <w:szCs w:val="20"/>
              </w:rPr>
              <w:t>.</w:t>
            </w:r>
            <w:r w:rsidRPr="00D613A6">
              <w:rPr>
                <w:color w:val="17365D"/>
                <w:sz w:val="20"/>
                <w:szCs w:val="20"/>
              </w:rPr>
              <w:t>21</w:t>
            </w:r>
          </w:p>
        </w:tc>
      </w:tr>
      <w:tr w:rsidR="00D613A6" w:rsidRPr="00D613A6" w14:paraId="2120A799" w14:textId="77777777" w:rsidTr="00856306">
        <w:trPr>
          <w:trHeight w:val="284"/>
        </w:trPr>
        <w:tc>
          <w:tcPr>
            <w:tcW w:w="904" w:type="dxa"/>
            <w:tcBorders>
              <w:top w:val="single" w:sz="4" w:space="0" w:color="17365D"/>
              <w:bottom w:val="single" w:sz="4" w:space="0" w:color="17365D"/>
            </w:tcBorders>
            <w:vAlign w:val="center"/>
          </w:tcPr>
          <w:p w14:paraId="1F586EF3"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1.4.</w:t>
            </w:r>
          </w:p>
        </w:tc>
        <w:tc>
          <w:tcPr>
            <w:tcW w:w="2566" w:type="dxa"/>
            <w:tcBorders>
              <w:top w:val="single" w:sz="4" w:space="0" w:color="17365D"/>
              <w:bottom w:val="single" w:sz="4" w:space="0" w:color="17365D"/>
            </w:tcBorders>
            <w:shd w:val="clear" w:color="000000" w:fill="FFFFFF"/>
            <w:vAlign w:val="center"/>
          </w:tcPr>
          <w:p w14:paraId="1EA520F1"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000000" w:fill="FFFFFF"/>
            <w:vAlign w:val="center"/>
          </w:tcPr>
          <w:p w14:paraId="7F5F8A0E" w14:textId="391A4E88"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31 032 363</w:t>
            </w:r>
          </w:p>
        </w:tc>
        <w:tc>
          <w:tcPr>
            <w:tcW w:w="1482" w:type="dxa"/>
            <w:tcBorders>
              <w:top w:val="single" w:sz="4" w:space="0" w:color="17365D"/>
              <w:left w:val="nil"/>
              <w:bottom w:val="single" w:sz="4" w:space="0" w:color="17365D"/>
              <w:right w:val="nil"/>
            </w:tcBorders>
            <w:shd w:val="clear" w:color="000000" w:fill="FFFFFF"/>
            <w:vAlign w:val="center"/>
          </w:tcPr>
          <w:p w14:paraId="0F402736" w14:textId="49818755"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12 334 286</w:t>
            </w:r>
          </w:p>
        </w:tc>
        <w:tc>
          <w:tcPr>
            <w:tcW w:w="1634" w:type="dxa"/>
            <w:tcBorders>
              <w:top w:val="single" w:sz="4" w:space="0" w:color="17365D"/>
              <w:left w:val="nil"/>
              <w:bottom w:val="single" w:sz="4" w:space="0" w:color="17365D"/>
              <w:right w:val="nil"/>
            </w:tcBorders>
            <w:shd w:val="clear" w:color="000000" w:fill="FFFFFF"/>
            <w:vAlign w:val="center"/>
          </w:tcPr>
          <w:p w14:paraId="2B2CFA4A" w14:textId="6CDDF8E3"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18</w:t>
            </w:r>
            <w:r w:rsidR="00FF7920" w:rsidRPr="00D613A6">
              <w:rPr>
                <w:color w:val="17365D"/>
                <w:sz w:val="20"/>
                <w:szCs w:val="20"/>
              </w:rPr>
              <w:t xml:space="preserve"> </w:t>
            </w:r>
            <w:r w:rsidRPr="00D613A6">
              <w:rPr>
                <w:color w:val="17365D"/>
                <w:sz w:val="20"/>
                <w:szCs w:val="20"/>
              </w:rPr>
              <w:t>698</w:t>
            </w:r>
            <w:r w:rsidR="00FF7920" w:rsidRPr="00D613A6">
              <w:rPr>
                <w:color w:val="17365D"/>
                <w:sz w:val="20"/>
                <w:szCs w:val="20"/>
              </w:rPr>
              <w:t xml:space="preserve"> </w:t>
            </w:r>
            <w:r w:rsidRPr="00D613A6">
              <w:rPr>
                <w:color w:val="17365D"/>
                <w:sz w:val="20"/>
                <w:szCs w:val="20"/>
              </w:rPr>
              <w:t>077</w:t>
            </w:r>
          </w:p>
        </w:tc>
        <w:tc>
          <w:tcPr>
            <w:tcW w:w="1317" w:type="dxa"/>
            <w:tcBorders>
              <w:top w:val="single" w:sz="4" w:space="0" w:color="17365D"/>
              <w:left w:val="nil"/>
              <w:bottom w:val="single" w:sz="4" w:space="0" w:color="17365D"/>
              <w:right w:val="nil"/>
            </w:tcBorders>
            <w:shd w:val="clear" w:color="000000" w:fill="FFFFFF"/>
            <w:vAlign w:val="center"/>
          </w:tcPr>
          <w:p w14:paraId="778AC125" w14:textId="7102BB4E"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151</w:t>
            </w:r>
            <w:r w:rsidR="00FF7920" w:rsidRPr="00D613A6">
              <w:rPr>
                <w:color w:val="17365D"/>
                <w:sz w:val="20"/>
                <w:szCs w:val="20"/>
              </w:rPr>
              <w:t>.</w:t>
            </w:r>
            <w:r w:rsidRPr="00D613A6">
              <w:rPr>
                <w:color w:val="17365D"/>
                <w:sz w:val="20"/>
                <w:szCs w:val="20"/>
              </w:rPr>
              <w:t>59</w:t>
            </w:r>
          </w:p>
        </w:tc>
      </w:tr>
      <w:tr w:rsidR="00D613A6" w:rsidRPr="00D613A6" w14:paraId="286876A9" w14:textId="77777777" w:rsidTr="00856306">
        <w:trPr>
          <w:trHeight w:val="284"/>
        </w:trPr>
        <w:tc>
          <w:tcPr>
            <w:tcW w:w="904" w:type="dxa"/>
            <w:tcBorders>
              <w:top w:val="single" w:sz="4" w:space="0" w:color="17365D"/>
              <w:bottom w:val="single" w:sz="4" w:space="0" w:color="17365D"/>
            </w:tcBorders>
            <w:vAlign w:val="center"/>
          </w:tcPr>
          <w:p w14:paraId="7CCA557F"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1.5.</w:t>
            </w:r>
          </w:p>
        </w:tc>
        <w:tc>
          <w:tcPr>
            <w:tcW w:w="2566" w:type="dxa"/>
            <w:tcBorders>
              <w:top w:val="single" w:sz="4" w:space="0" w:color="17365D"/>
              <w:bottom w:val="single" w:sz="4" w:space="0" w:color="17365D"/>
            </w:tcBorders>
            <w:shd w:val="clear" w:color="000000" w:fill="FFFFFF"/>
            <w:vAlign w:val="center"/>
          </w:tcPr>
          <w:p w14:paraId="793EDCD3"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 xml:space="preserve">Transferti viena budžeta veida ietvaros un uzturēšanas izdevumu transferti starp budžeta veidiem </w:t>
            </w:r>
          </w:p>
        </w:tc>
        <w:tc>
          <w:tcPr>
            <w:tcW w:w="1482" w:type="dxa"/>
            <w:tcBorders>
              <w:top w:val="single" w:sz="4" w:space="0" w:color="17365D"/>
              <w:left w:val="nil"/>
              <w:bottom w:val="single" w:sz="4" w:space="0" w:color="17365D"/>
              <w:right w:val="nil"/>
            </w:tcBorders>
            <w:shd w:val="clear" w:color="000000" w:fill="FFFFFF"/>
            <w:vAlign w:val="center"/>
          </w:tcPr>
          <w:p w14:paraId="1AA35063" w14:textId="483A72A9"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10 381 803</w:t>
            </w:r>
          </w:p>
        </w:tc>
        <w:tc>
          <w:tcPr>
            <w:tcW w:w="1482" w:type="dxa"/>
            <w:tcBorders>
              <w:top w:val="single" w:sz="4" w:space="0" w:color="17365D"/>
              <w:left w:val="nil"/>
              <w:bottom w:val="single" w:sz="4" w:space="0" w:color="17365D"/>
              <w:right w:val="nil"/>
            </w:tcBorders>
            <w:shd w:val="clear" w:color="000000" w:fill="FFFFFF"/>
            <w:vAlign w:val="center"/>
          </w:tcPr>
          <w:p w14:paraId="064F9ADE" w14:textId="50FBD72B"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30 015 641</w:t>
            </w:r>
          </w:p>
        </w:tc>
        <w:tc>
          <w:tcPr>
            <w:tcW w:w="1634" w:type="dxa"/>
            <w:tcBorders>
              <w:top w:val="single" w:sz="4" w:space="0" w:color="17365D"/>
              <w:left w:val="nil"/>
              <w:bottom w:val="single" w:sz="4" w:space="0" w:color="17365D"/>
              <w:right w:val="nil"/>
            </w:tcBorders>
            <w:shd w:val="clear" w:color="000000" w:fill="FFFFFF"/>
            <w:vAlign w:val="center"/>
          </w:tcPr>
          <w:p w14:paraId="36F4F344" w14:textId="20399774"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w:t>
            </w:r>
            <w:r w:rsidR="00FF7920" w:rsidRPr="00D613A6">
              <w:rPr>
                <w:color w:val="17365D"/>
                <w:sz w:val="20"/>
                <w:szCs w:val="20"/>
              </w:rPr>
              <w:t>1</w:t>
            </w:r>
            <w:r w:rsidRPr="00D613A6">
              <w:rPr>
                <w:color w:val="17365D"/>
                <w:sz w:val="20"/>
                <w:szCs w:val="20"/>
              </w:rPr>
              <w:t>9</w:t>
            </w:r>
            <w:r w:rsidR="00FF7920" w:rsidRPr="00D613A6">
              <w:rPr>
                <w:color w:val="17365D"/>
                <w:sz w:val="20"/>
                <w:szCs w:val="20"/>
              </w:rPr>
              <w:t xml:space="preserve"> </w:t>
            </w:r>
            <w:r w:rsidRPr="00D613A6">
              <w:rPr>
                <w:color w:val="17365D"/>
                <w:sz w:val="20"/>
                <w:szCs w:val="20"/>
              </w:rPr>
              <w:t>633</w:t>
            </w:r>
            <w:r w:rsidR="00FF7920" w:rsidRPr="00D613A6">
              <w:rPr>
                <w:color w:val="17365D"/>
                <w:sz w:val="20"/>
                <w:szCs w:val="20"/>
              </w:rPr>
              <w:t xml:space="preserve"> </w:t>
            </w:r>
            <w:r w:rsidRPr="00D613A6">
              <w:rPr>
                <w:color w:val="17365D"/>
                <w:sz w:val="20"/>
                <w:szCs w:val="20"/>
              </w:rPr>
              <w:t>838</w:t>
            </w:r>
          </w:p>
        </w:tc>
        <w:tc>
          <w:tcPr>
            <w:tcW w:w="1317" w:type="dxa"/>
            <w:tcBorders>
              <w:top w:val="single" w:sz="4" w:space="0" w:color="17365D"/>
              <w:left w:val="nil"/>
              <w:bottom w:val="single" w:sz="4" w:space="0" w:color="17365D"/>
              <w:right w:val="nil"/>
            </w:tcBorders>
            <w:shd w:val="clear" w:color="000000" w:fill="FFFFFF"/>
            <w:vAlign w:val="center"/>
          </w:tcPr>
          <w:p w14:paraId="6E254F84" w14:textId="57C7CF27"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-65</w:t>
            </w:r>
            <w:r w:rsidR="00FF7920" w:rsidRPr="00D613A6">
              <w:rPr>
                <w:color w:val="17365D"/>
                <w:sz w:val="20"/>
                <w:szCs w:val="20"/>
              </w:rPr>
              <w:t>.</w:t>
            </w:r>
            <w:r w:rsidRPr="00D613A6">
              <w:rPr>
                <w:color w:val="17365D"/>
                <w:sz w:val="20"/>
                <w:szCs w:val="20"/>
              </w:rPr>
              <w:t>41</w:t>
            </w:r>
          </w:p>
        </w:tc>
      </w:tr>
      <w:tr w:rsidR="00D613A6" w:rsidRPr="00D613A6" w14:paraId="10600444" w14:textId="77777777" w:rsidTr="00856306">
        <w:trPr>
          <w:trHeight w:val="284"/>
        </w:trPr>
        <w:tc>
          <w:tcPr>
            <w:tcW w:w="904" w:type="dxa"/>
            <w:tcBorders>
              <w:top w:val="single" w:sz="4" w:space="0" w:color="17365D"/>
              <w:bottom w:val="single" w:sz="4" w:space="0" w:color="17365D"/>
            </w:tcBorders>
            <w:vAlign w:val="center"/>
          </w:tcPr>
          <w:p w14:paraId="4A9D070A" w14:textId="77777777" w:rsidR="00FF7920" w:rsidRPr="00D613A6" w:rsidRDefault="00FF7920" w:rsidP="00FF7920">
            <w:pPr>
              <w:pStyle w:val="Pamatteksts1"/>
              <w:spacing w:before="40" w:after="40"/>
              <w:ind w:firstLine="0"/>
              <w:jc w:val="left"/>
              <w:rPr>
                <w:b/>
                <w:color w:val="17365D"/>
                <w:sz w:val="20"/>
                <w:szCs w:val="20"/>
              </w:rPr>
            </w:pPr>
            <w:r w:rsidRPr="00D613A6">
              <w:rPr>
                <w:b/>
                <w:color w:val="17365D"/>
                <w:sz w:val="20"/>
                <w:szCs w:val="20"/>
              </w:rPr>
              <w:t>2.0.</w:t>
            </w:r>
          </w:p>
        </w:tc>
        <w:tc>
          <w:tcPr>
            <w:tcW w:w="2566" w:type="dxa"/>
            <w:tcBorders>
              <w:top w:val="single" w:sz="4" w:space="0" w:color="17365D"/>
              <w:bottom w:val="single" w:sz="4" w:space="0" w:color="17365D"/>
            </w:tcBorders>
            <w:shd w:val="clear" w:color="000000" w:fill="FFFFFF"/>
            <w:vAlign w:val="center"/>
          </w:tcPr>
          <w:p w14:paraId="0523D5B7" w14:textId="77777777" w:rsidR="00FF7920" w:rsidRPr="00D613A6" w:rsidRDefault="00FF7920" w:rsidP="00FF7920">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000000" w:fill="FFFFFF"/>
            <w:vAlign w:val="center"/>
          </w:tcPr>
          <w:p w14:paraId="6C608204" w14:textId="39C53C1E"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42 371 213</w:t>
            </w:r>
          </w:p>
        </w:tc>
        <w:tc>
          <w:tcPr>
            <w:tcW w:w="1482" w:type="dxa"/>
            <w:tcBorders>
              <w:top w:val="single" w:sz="4" w:space="0" w:color="17365D"/>
              <w:left w:val="nil"/>
              <w:bottom w:val="single" w:sz="4" w:space="0" w:color="17365D"/>
              <w:right w:val="nil"/>
            </w:tcBorders>
            <w:shd w:val="clear" w:color="000000" w:fill="FFFFFF"/>
            <w:vAlign w:val="center"/>
          </w:tcPr>
          <w:p w14:paraId="4D68C8CA" w14:textId="3CFE346A"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62 247 701</w:t>
            </w:r>
          </w:p>
        </w:tc>
        <w:tc>
          <w:tcPr>
            <w:tcW w:w="1634" w:type="dxa"/>
            <w:tcBorders>
              <w:top w:val="single" w:sz="4" w:space="0" w:color="17365D"/>
              <w:left w:val="nil"/>
              <w:bottom w:val="single" w:sz="4" w:space="0" w:color="17365D"/>
              <w:right w:val="nil"/>
            </w:tcBorders>
            <w:shd w:val="clear" w:color="000000" w:fill="FFFFFF"/>
            <w:vAlign w:val="center"/>
          </w:tcPr>
          <w:p w14:paraId="47EBD89B" w14:textId="472A9F21" w:rsidR="00FF7920" w:rsidRPr="00D613A6" w:rsidRDefault="00056298" w:rsidP="00056298">
            <w:pPr>
              <w:pStyle w:val="Pamatteksts1"/>
              <w:spacing w:before="60" w:after="60"/>
              <w:ind w:left="-107" w:right="-105" w:firstLine="0"/>
              <w:jc w:val="right"/>
              <w:rPr>
                <w:b/>
                <w:color w:val="17365D"/>
                <w:sz w:val="20"/>
                <w:szCs w:val="20"/>
              </w:rPr>
            </w:pPr>
            <w:r w:rsidRPr="00D613A6">
              <w:rPr>
                <w:b/>
                <w:color w:val="17365D"/>
                <w:sz w:val="20"/>
                <w:szCs w:val="20"/>
              </w:rPr>
              <w:t>-19</w:t>
            </w:r>
            <w:r w:rsidR="00FF7920" w:rsidRPr="00D613A6">
              <w:rPr>
                <w:b/>
                <w:color w:val="17365D"/>
                <w:sz w:val="20"/>
                <w:szCs w:val="20"/>
              </w:rPr>
              <w:t xml:space="preserve"> </w:t>
            </w:r>
            <w:r w:rsidRPr="00D613A6">
              <w:rPr>
                <w:b/>
                <w:color w:val="17365D"/>
                <w:sz w:val="20"/>
                <w:szCs w:val="20"/>
              </w:rPr>
              <w:t>876</w:t>
            </w:r>
            <w:r w:rsidR="00FF7920" w:rsidRPr="00D613A6">
              <w:rPr>
                <w:b/>
                <w:color w:val="17365D"/>
                <w:sz w:val="20"/>
                <w:szCs w:val="20"/>
              </w:rPr>
              <w:t xml:space="preserve"> </w:t>
            </w:r>
            <w:r w:rsidRPr="00D613A6">
              <w:rPr>
                <w:b/>
                <w:color w:val="17365D"/>
                <w:sz w:val="20"/>
                <w:szCs w:val="20"/>
              </w:rPr>
              <w:t>488</w:t>
            </w:r>
          </w:p>
        </w:tc>
        <w:tc>
          <w:tcPr>
            <w:tcW w:w="1317" w:type="dxa"/>
            <w:tcBorders>
              <w:top w:val="single" w:sz="4" w:space="0" w:color="17365D"/>
              <w:left w:val="nil"/>
              <w:bottom w:val="single" w:sz="4" w:space="0" w:color="17365D"/>
              <w:right w:val="nil"/>
            </w:tcBorders>
            <w:shd w:val="clear" w:color="000000" w:fill="FFFFFF"/>
            <w:vAlign w:val="center"/>
          </w:tcPr>
          <w:p w14:paraId="3DE18960" w14:textId="0813956C" w:rsidR="00FF7920" w:rsidRPr="00D613A6" w:rsidRDefault="00056298" w:rsidP="00056298">
            <w:pPr>
              <w:pStyle w:val="Pamatteksts1"/>
              <w:spacing w:before="40" w:after="40"/>
              <w:ind w:firstLine="0"/>
              <w:jc w:val="right"/>
              <w:rPr>
                <w:b/>
                <w:color w:val="17365D"/>
                <w:sz w:val="20"/>
                <w:szCs w:val="20"/>
              </w:rPr>
            </w:pPr>
            <w:r w:rsidRPr="00D613A6">
              <w:rPr>
                <w:b/>
                <w:color w:val="17365D"/>
                <w:sz w:val="20"/>
                <w:szCs w:val="20"/>
              </w:rPr>
              <w:t>-31</w:t>
            </w:r>
            <w:r w:rsidR="00FF7920" w:rsidRPr="00D613A6">
              <w:rPr>
                <w:b/>
                <w:color w:val="17365D"/>
                <w:sz w:val="20"/>
                <w:szCs w:val="20"/>
              </w:rPr>
              <w:t>.</w:t>
            </w:r>
            <w:r w:rsidRPr="00D613A6">
              <w:rPr>
                <w:b/>
                <w:color w:val="17365D"/>
                <w:sz w:val="20"/>
                <w:szCs w:val="20"/>
              </w:rPr>
              <w:t>93</w:t>
            </w:r>
          </w:p>
        </w:tc>
      </w:tr>
      <w:tr w:rsidR="00D613A6" w:rsidRPr="00D613A6" w14:paraId="0C51FB46" w14:textId="77777777" w:rsidTr="00856306">
        <w:trPr>
          <w:trHeight w:val="284"/>
        </w:trPr>
        <w:tc>
          <w:tcPr>
            <w:tcW w:w="904" w:type="dxa"/>
            <w:tcBorders>
              <w:top w:val="single" w:sz="4" w:space="0" w:color="17365D"/>
              <w:bottom w:val="single" w:sz="4" w:space="0" w:color="17365D"/>
            </w:tcBorders>
            <w:vAlign w:val="center"/>
          </w:tcPr>
          <w:p w14:paraId="4E9056C1" w14:textId="1F492BD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2.1.</w:t>
            </w:r>
          </w:p>
        </w:tc>
        <w:tc>
          <w:tcPr>
            <w:tcW w:w="2566" w:type="dxa"/>
            <w:tcBorders>
              <w:top w:val="single" w:sz="4" w:space="0" w:color="17365D"/>
              <w:bottom w:val="single" w:sz="4" w:space="0" w:color="17365D"/>
            </w:tcBorders>
            <w:shd w:val="clear" w:color="000000" w:fill="FFFFFF"/>
            <w:vAlign w:val="center"/>
          </w:tcPr>
          <w:p w14:paraId="125D10D8"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000000" w:fill="FFFFFF"/>
            <w:vAlign w:val="center"/>
          </w:tcPr>
          <w:p w14:paraId="4676D23E" w14:textId="2848B086"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42 227 945</w:t>
            </w:r>
          </w:p>
        </w:tc>
        <w:tc>
          <w:tcPr>
            <w:tcW w:w="1482" w:type="dxa"/>
            <w:tcBorders>
              <w:top w:val="single" w:sz="4" w:space="0" w:color="17365D"/>
              <w:left w:val="nil"/>
              <w:bottom w:val="single" w:sz="4" w:space="0" w:color="17365D"/>
              <w:right w:val="nil"/>
            </w:tcBorders>
            <w:shd w:val="clear" w:color="000000" w:fill="FFFFFF"/>
            <w:vAlign w:val="center"/>
          </w:tcPr>
          <w:p w14:paraId="576C685E" w14:textId="1616B4DE"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62 241 908</w:t>
            </w:r>
          </w:p>
        </w:tc>
        <w:tc>
          <w:tcPr>
            <w:tcW w:w="1634" w:type="dxa"/>
            <w:tcBorders>
              <w:top w:val="single" w:sz="4" w:space="0" w:color="17365D"/>
              <w:left w:val="nil"/>
              <w:bottom w:val="single" w:sz="4" w:space="0" w:color="17365D"/>
              <w:right w:val="nil"/>
            </w:tcBorders>
            <w:shd w:val="clear" w:color="000000" w:fill="FFFFFF"/>
            <w:vAlign w:val="center"/>
          </w:tcPr>
          <w:p w14:paraId="74ECC1CD" w14:textId="367E10C5"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-20</w:t>
            </w:r>
            <w:r w:rsidR="00FF7920" w:rsidRPr="00D613A6">
              <w:rPr>
                <w:color w:val="17365D"/>
                <w:sz w:val="20"/>
                <w:szCs w:val="20"/>
              </w:rPr>
              <w:t xml:space="preserve"> </w:t>
            </w:r>
            <w:r w:rsidRPr="00D613A6">
              <w:rPr>
                <w:color w:val="17365D"/>
                <w:sz w:val="20"/>
                <w:szCs w:val="20"/>
              </w:rPr>
              <w:t>013</w:t>
            </w:r>
            <w:r w:rsidR="00FF7920" w:rsidRPr="00D613A6">
              <w:rPr>
                <w:color w:val="17365D"/>
                <w:sz w:val="20"/>
                <w:szCs w:val="20"/>
              </w:rPr>
              <w:t xml:space="preserve"> </w:t>
            </w:r>
            <w:r w:rsidRPr="00D613A6">
              <w:rPr>
                <w:color w:val="17365D"/>
                <w:sz w:val="20"/>
                <w:szCs w:val="20"/>
              </w:rPr>
              <w:t>963</w:t>
            </w:r>
          </w:p>
        </w:tc>
        <w:tc>
          <w:tcPr>
            <w:tcW w:w="1317" w:type="dxa"/>
            <w:tcBorders>
              <w:top w:val="single" w:sz="4" w:space="0" w:color="17365D"/>
              <w:left w:val="nil"/>
              <w:bottom w:val="single" w:sz="4" w:space="0" w:color="17365D"/>
              <w:right w:val="nil"/>
            </w:tcBorders>
            <w:shd w:val="clear" w:color="000000" w:fill="FFFFFF"/>
            <w:vAlign w:val="center"/>
          </w:tcPr>
          <w:p w14:paraId="39D3C5A4" w14:textId="5525BB9E"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-32</w:t>
            </w:r>
            <w:r w:rsidR="00FF7920" w:rsidRPr="00D613A6">
              <w:rPr>
                <w:color w:val="17365D"/>
                <w:sz w:val="20"/>
                <w:szCs w:val="20"/>
              </w:rPr>
              <w:t>.</w:t>
            </w:r>
            <w:r w:rsidRPr="00D613A6">
              <w:rPr>
                <w:color w:val="17365D"/>
                <w:sz w:val="20"/>
                <w:szCs w:val="20"/>
              </w:rPr>
              <w:t>16</w:t>
            </w:r>
          </w:p>
        </w:tc>
      </w:tr>
      <w:tr w:rsidR="00D613A6" w:rsidRPr="00D613A6" w14:paraId="13EE09F1" w14:textId="77777777" w:rsidTr="00856306">
        <w:trPr>
          <w:trHeight w:val="284"/>
        </w:trPr>
        <w:tc>
          <w:tcPr>
            <w:tcW w:w="904" w:type="dxa"/>
            <w:tcBorders>
              <w:top w:val="single" w:sz="4" w:space="0" w:color="17365D"/>
              <w:bottom w:val="nil"/>
            </w:tcBorders>
            <w:vAlign w:val="center"/>
          </w:tcPr>
          <w:p w14:paraId="5CF610F4" w14:textId="2462B2F4"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2.2.</w:t>
            </w:r>
          </w:p>
        </w:tc>
        <w:tc>
          <w:tcPr>
            <w:tcW w:w="2566" w:type="dxa"/>
            <w:tcBorders>
              <w:top w:val="single" w:sz="4" w:space="0" w:color="17365D"/>
              <w:bottom w:val="nil"/>
            </w:tcBorders>
            <w:shd w:val="clear" w:color="000000" w:fill="FFFFFF"/>
            <w:vAlign w:val="center"/>
          </w:tcPr>
          <w:p w14:paraId="66F53B3A" w14:textId="1DF3D3F0" w:rsidR="00FF7920" w:rsidRPr="00D613A6" w:rsidRDefault="00FF7920" w:rsidP="00FF7920">
            <w:pPr>
              <w:pStyle w:val="Pamatteksts1"/>
              <w:spacing w:before="40" w:after="40"/>
              <w:ind w:firstLine="0"/>
              <w:jc w:val="left"/>
              <w:rPr>
                <w:bCs/>
                <w:color w:val="17365D"/>
                <w:sz w:val="20"/>
                <w:szCs w:val="20"/>
              </w:rPr>
            </w:pPr>
            <w:r w:rsidRPr="00D613A6">
              <w:rPr>
                <w:bCs/>
                <w:color w:val="17365D"/>
                <w:sz w:val="20"/>
                <w:szCs w:val="20"/>
              </w:rPr>
              <w:t>Kapitālo izdevumu transferti</w:t>
            </w:r>
          </w:p>
        </w:tc>
        <w:tc>
          <w:tcPr>
            <w:tcW w:w="1482" w:type="dxa"/>
            <w:tcBorders>
              <w:top w:val="single" w:sz="4" w:space="0" w:color="17365D"/>
              <w:left w:val="nil"/>
              <w:bottom w:val="nil"/>
              <w:right w:val="nil"/>
            </w:tcBorders>
            <w:shd w:val="clear" w:color="000000" w:fill="FFFFFF"/>
            <w:vAlign w:val="center"/>
          </w:tcPr>
          <w:p w14:paraId="68EE110F" w14:textId="5E16E9AF"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143 268</w:t>
            </w:r>
          </w:p>
        </w:tc>
        <w:tc>
          <w:tcPr>
            <w:tcW w:w="1482" w:type="dxa"/>
            <w:tcBorders>
              <w:top w:val="single" w:sz="4" w:space="0" w:color="17365D"/>
              <w:left w:val="nil"/>
              <w:bottom w:val="nil"/>
              <w:right w:val="nil"/>
            </w:tcBorders>
            <w:shd w:val="clear" w:color="000000" w:fill="FFFFFF"/>
            <w:vAlign w:val="center"/>
          </w:tcPr>
          <w:p w14:paraId="1011695C" w14:textId="34D60317"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5 793</w:t>
            </w:r>
          </w:p>
        </w:tc>
        <w:tc>
          <w:tcPr>
            <w:tcW w:w="1634" w:type="dxa"/>
            <w:tcBorders>
              <w:top w:val="single" w:sz="4" w:space="0" w:color="17365D"/>
              <w:left w:val="nil"/>
              <w:bottom w:val="nil"/>
              <w:right w:val="nil"/>
            </w:tcBorders>
            <w:shd w:val="clear" w:color="000000" w:fill="FFFFFF"/>
            <w:vAlign w:val="center"/>
          </w:tcPr>
          <w:p w14:paraId="07039A09" w14:textId="2030B38F"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137</w:t>
            </w:r>
            <w:r w:rsidR="00FF7920" w:rsidRPr="00D613A6">
              <w:rPr>
                <w:color w:val="17365D"/>
                <w:sz w:val="20"/>
                <w:szCs w:val="20"/>
              </w:rPr>
              <w:t xml:space="preserve"> </w:t>
            </w:r>
            <w:r w:rsidRPr="00D613A6">
              <w:rPr>
                <w:color w:val="17365D"/>
                <w:sz w:val="20"/>
                <w:szCs w:val="20"/>
              </w:rPr>
              <w:t>475</w:t>
            </w:r>
          </w:p>
        </w:tc>
        <w:tc>
          <w:tcPr>
            <w:tcW w:w="1317" w:type="dxa"/>
            <w:tcBorders>
              <w:top w:val="single" w:sz="4" w:space="0" w:color="17365D"/>
              <w:left w:val="nil"/>
              <w:bottom w:val="nil"/>
              <w:right w:val="nil"/>
            </w:tcBorders>
            <w:shd w:val="clear" w:color="000000" w:fill="FFFFFF"/>
            <w:vAlign w:val="center"/>
          </w:tcPr>
          <w:p w14:paraId="3038F3CF" w14:textId="0785E96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2373</w:t>
            </w:r>
            <w:r w:rsidR="00FF7920" w:rsidRPr="00D613A6">
              <w:rPr>
                <w:color w:val="17365D"/>
                <w:sz w:val="20"/>
                <w:szCs w:val="20"/>
              </w:rPr>
              <w:t>.</w:t>
            </w:r>
            <w:r w:rsidRPr="00D613A6">
              <w:rPr>
                <w:color w:val="17365D"/>
                <w:sz w:val="20"/>
                <w:szCs w:val="20"/>
              </w:rPr>
              <w:t>12</w:t>
            </w:r>
          </w:p>
        </w:tc>
      </w:tr>
      <w:tr w:rsidR="00D613A6" w:rsidRPr="00D613A6" w14:paraId="26227E6F" w14:textId="77777777" w:rsidTr="00437740">
        <w:trPr>
          <w:trHeight w:val="284"/>
        </w:trPr>
        <w:tc>
          <w:tcPr>
            <w:tcW w:w="904" w:type="dxa"/>
            <w:tcBorders>
              <w:top w:val="nil"/>
              <w:bottom w:val="nil"/>
            </w:tcBorders>
            <w:shd w:val="clear" w:color="auto" w:fill="B9CDE5"/>
            <w:vAlign w:val="center"/>
          </w:tcPr>
          <w:p w14:paraId="25E67ADD" w14:textId="77777777" w:rsidR="00467DFA" w:rsidRPr="00D613A6" w:rsidRDefault="00467DFA" w:rsidP="00F30281">
            <w:pPr>
              <w:pStyle w:val="Pamatteksts1"/>
              <w:spacing w:before="40" w:after="40"/>
              <w:ind w:firstLine="0"/>
              <w:jc w:val="left"/>
              <w:rPr>
                <w:color w:val="17365D"/>
                <w:sz w:val="20"/>
                <w:szCs w:val="20"/>
              </w:rPr>
            </w:pPr>
          </w:p>
        </w:tc>
        <w:tc>
          <w:tcPr>
            <w:tcW w:w="2566" w:type="dxa"/>
            <w:tcBorders>
              <w:top w:val="nil"/>
              <w:bottom w:val="nil"/>
            </w:tcBorders>
            <w:shd w:val="clear" w:color="auto" w:fill="B9CDE5"/>
            <w:vAlign w:val="center"/>
          </w:tcPr>
          <w:p w14:paraId="16042BDB" w14:textId="77777777" w:rsidR="00467DFA" w:rsidRPr="00D613A6" w:rsidRDefault="00467DFA" w:rsidP="00F30281">
            <w:pPr>
              <w:pStyle w:val="Pamatteksts1"/>
              <w:spacing w:before="40" w:after="40"/>
              <w:ind w:firstLine="0"/>
              <w:jc w:val="left"/>
              <w:rPr>
                <w:bCs/>
                <w:color w:val="17365D"/>
                <w:sz w:val="20"/>
                <w:szCs w:val="20"/>
              </w:rPr>
            </w:pPr>
          </w:p>
        </w:tc>
        <w:tc>
          <w:tcPr>
            <w:tcW w:w="1482" w:type="dxa"/>
            <w:tcBorders>
              <w:top w:val="nil"/>
              <w:bottom w:val="nil"/>
            </w:tcBorders>
            <w:shd w:val="clear" w:color="auto" w:fill="B9CDE5"/>
            <w:vAlign w:val="center"/>
          </w:tcPr>
          <w:p w14:paraId="3913338C" w14:textId="77777777" w:rsidR="00467DFA" w:rsidRPr="00D613A6" w:rsidRDefault="00467DFA" w:rsidP="00F30281">
            <w:pPr>
              <w:pStyle w:val="Pamatteksts1"/>
              <w:spacing w:before="40" w:after="40"/>
              <w:ind w:firstLine="0"/>
              <w:jc w:val="right"/>
              <w:rPr>
                <w:color w:val="17365D"/>
                <w:sz w:val="20"/>
                <w:szCs w:val="20"/>
              </w:rPr>
            </w:pPr>
          </w:p>
        </w:tc>
        <w:tc>
          <w:tcPr>
            <w:tcW w:w="1482" w:type="dxa"/>
            <w:tcBorders>
              <w:top w:val="nil"/>
              <w:bottom w:val="nil"/>
            </w:tcBorders>
            <w:shd w:val="clear" w:color="auto" w:fill="B9CDE5"/>
            <w:vAlign w:val="center"/>
          </w:tcPr>
          <w:p w14:paraId="30AD442C" w14:textId="77777777" w:rsidR="00467DFA" w:rsidRPr="00D613A6" w:rsidRDefault="00467DFA" w:rsidP="00F30281">
            <w:pPr>
              <w:pStyle w:val="Pamatteksts1"/>
              <w:spacing w:before="40" w:after="40"/>
              <w:ind w:firstLine="0"/>
              <w:jc w:val="right"/>
              <w:rPr>
                <w:color w:val="17365D"/>
                <w:sz w:val="20"/>
                <w:szCs w:val="20"/>
              </w:rPr>
            </w:pPr>
          </w:p>
        </w:tc>
        <w:tc>
          <w:tcPr>
            <w:tcW w:w="1634" w:type="dxa"/>
            <w:tcBorders>
              <w:top w:val="nil"/>
              <w:bottom w:val="nil"/>
            </w:tcBorders>
            <w:shd w:val="clear" w:color="auto" w:fill="B9CDE5"/>
            <w:vAlign w:val="center"/>
          </w:tcPr>
          <w:p w14:paraId="021D1C50" w14:textId="77777777" w:rsidR="00467DFA" w:rsidRPr="00D613A6" w:rsidRDefault="00467DFA" w:rsidP="00F30281">
            <w:pPr>
              <w:pStyle w:val="Pamatteksts1"/>
              <w:spacing w:before="60" w:after="60"/>
              <w:ind w:left="-107" w:right="-105" w:firstLine="0"/>
              <w:jc w:val="right"/>
              <w:rPr>
                <w:color w:val="17365D"/>
                <w:sz w:val="20"/>
                <w:szCs w:val="20"/>
              </w:rPr>
            </w:pPr>
          </w:p>
        </w:tc>
        <w:tc>
          <w:tcPr>
            <w:tcW w:w="1317" w:type="dxa"/>
            <w:tcBorders>
              <w:top w:val="nil"/>
              <w:bottom w:val="nil"/>
            </w:tcBorders>
            <w:shd w:val="clear" w:color="auto" w:fill="B9CDE5"/>
            <w:vAlign w:val="center"/>
          </w:tcPr>
          <w:p w14:paraId="31D3D1C0" w14:textId="77777777" w:rsidR="00467DFA" w:rsidRPr="00D613A6" w:rsidRDefault="00467DFA" w:rsidP="00F30281">
            <w:pPr>
              <w:pStyle w:val="Pamatteksts1"/>
              <w:spacing w:before="40" w:after="40"/>
              <w:ind w:firstLine="0"/>
              <w:jc w:val="right"/>
              <w:rPr>
                <w:color w:val="17365D"/>
                <w:sz w:val="20"/>
                <w:szCs w:val="20"/>
              </w:rPr>
            </w:pPr>
          </w:p>
        </w:tc>
      </w:tr>
    </w:tbl>
    <w:p w14:paraId="37889470" w14:textId="0297C09B" w:rsidR="00A7147F" w:rsidRPr="00D613A6" w:rsidRDefault="00A7147F" w:rsidP="00EC5785">
      <w:pPr>
        <w:spacing w:before="120" w:after="60"/>
        <w:rPr>
          <w:noProof/>
          <w:color w:val="17365D"/>
        </w:rPr>
      </w:pPr>
      <w:r w:rsidRPr="00D613A6">
        <w:rPr>
          <w:noProof/>
          <w:color w:val="17365D"/>
        </w:rPr>
        <w:t>Būtiskas izmaiņas veidojas postenī “</w:t>
      </w:r>
      <w:r w:rsidR="009B03AE" w:rsidRPr="00D613A6">
        <w:rPr>
          <w:noProof/>
          <w:color w:val="17365D"/>
        </w:rPr>
        <w:t>Kārtējie maksājumi Eiropas Savienības budžetā un starptautiskā sadarbība</w:t>
      </w:r>
      <w:r w:rsidRPr="00D613A6">
        <w:rPr>
          <w:noProof/>
          <w:color w:val="17365D"/>
        </w:rPr>
        <w:t xml:space="preserve">” </w:t>
      </w:r>
      <w:r w:rsidR="009F008A" w:rsidRPr="00D613A6">
        <w:rPr>
          <w:noProof/>
          <w:color w:val="17365D"/>
        </w:rPr>
        <w:t xml:space="preserve">– </w:t>
      </w:r>
      <w:r w:rsidRPr="00D613A6">
        <w:rPr>
          <w:noProof/>
          <w:color w:val="17365D"/>
        </w:rPr>
        <w:t xml:space="preserve">pārskata periodā veikti izdevumi </w:t>
      </w:r>
      <w:r w:rsidR="009B03AE" w:rsidRPr="00D613A6">
        <w:rPr>
          <w:noProof/>
          <w:color w:val="17365D"/>
        </w:rPr>
        <w:t>31</w:t>
      </w:r>
      <w:r w:rsidRPr="00D613A6">
        <w:rPr>
          <w:noProof/>
          <w:color w:val="17365D"/>
        </w:rPr>
        <w:t xml:space="preserve">,0 milj. </w:t>
      </w:r>
      <w:r w:rsidRPr="00D613A6">
        <w:rPr>
          <w:i/>
          <w:noProof/>
          <w:color w:val="17365D"/>
        </w:rPr>
        <w:t>euro</w:t>
      </w:r>
      <w:r w:rsidRPr="00D613A6">
        <w:rPr>
          <w:noProof/>
          <w:color w:val="17365D"/>
        </w:rPr>
        <w:t xml:space="preserve"> vērtībā, kas salīdzinājumā ar 202</w:t>
      </w:r>
      <w:r w:rsidR="009B03AE" w:rsidRPr="00D613A6">
        <w:rPr>
          <w:noProof/>
          <w:color w:val="17365D"/>
        </w:rPr>
        <w:t>3</w:t>
      </w:r>
      <w:r w:rsidRPr="00D613A6">
        <w:rPr>
          <w:noProof/>
          <w:color w:val="17365D"/>
        </w:rPr>
        <w:t>. gadu ir par 1</w:t>
      </w:r>
      <w:r w:rsidR="009B03AE" w:rsidRPr="00D613A6">
        <w:rPr>
          <w:noProof/>
          <w:color w:val="17365D"/>
        </w:rPr>
        <w:t>8,7</w:t>
      </w:r>
      <w:r w:rsidRPr="00D613A6">
        <w:rPr>
          <w:noProof/>
          <w:color w:val="17365D"/>
        </w:rPr>
        <w:t xml:space="preserve"> milj. </w:t>
      </w:r>
      <w:r w:rsidRPr="00D613A6">
        <w:rPr>
          <w:i/>
          <w:noProof/>
          <w:color w:val="17365D"/>
        </w:rPr>
        <w:t>euro</w:t>
      </w:r>
      <w:r w:rsidR="009B03AE" w:rsidRPr="00D613A6">
        <w:rPr>
          <w:noProof/>
          <w:color w:val="17365D"/>
        </w:rPr>
        <w:t xml:space="preserve"> jeb 151</w:t>
      </w:r>
      <w:r w:rsidRPr="00D613A6">
        <w:rPr>
          <w:noProof/>
          <w:color w:val="17365D"/>
        </w:rPr>
        <w:t>,5</w:t>
      </w:r>
      <w:r w:rsidR="009B03AE" w:rsidRPr="00D613A6">
        <w:rPr>
          <w:noProof/>
          <w:color w:val="17365D"/>
        </w:rPr>
        <w:t>9</w:t>
      </w:r>
      <w:r w:rsidRPr="00D613A6">
        <w:rPr>
          <w:noProof/>
          <w:color w:val="17365D"/>
        </w:rPr>
        <w:t xml:space="preserve"> % vairāk. Būtiskākais pieaugums ir </w:t>
      </w:r>
      <w:r w:rsidR="002D633D" w:rsidRPr="00D613A6">
        <w:rPr>
          <w:color w:val="17365D"/>
        </w:rPr>
        <w:t xml:space="preserve">Izglītības un zinātnes ministrijai </w:t>
      </w:r>
      <w:r w:rsidR="0042624D" w:rsidRPr="00D613A6">
        <w:rPr>
          <w:noProof/>
          <w:color w:val="17365D"/>
        </w:rPr>
        <w:t>19</w:t>
      </w:r>
      <w:r w:rsidR="00855D72" w:rsidRPr="00D613A6">
        <w:rPr>
          <w:noProof/>
          <w:color w:val="17365D"/>
        </w:rPr>
        <w:t>,</w:t>
      </w:r>
      <w:r w:rsidR="0042624D" w:rsidRPr="00D613A6">
        <w:rPr>
          <w:noProof/>
          <w:color w:val="17365D"/>
        </w:rPr>
        <w:t xml:space="preserve">9 </w:t>
      </w:r>
      <w:r w:rsidR="00855D72" w:rsidRPr="00D613A6">
        <w:rPr>
          <w:noProof/>
          <w:color w:val="17365D"/>
        </w:rPr>
        <w:t xml:space="preserve">milj. </w:t>
      </w:r>
      <w:r w:rsidR="00855D72" w:rsidRPr="00D613A6">
        <w:rPr>
          <w:i/>
          <w:noProof/>
          <w:color w:val="17365D"/>
        </w:rPr>
        <w:t>euro</w:t>
      </w:r>
      <w:r w:rsidR="00C5419C" w:rsidRPr="00D613A6">
        <w:rPr>
          <w:noProof/>
          <w:color w:val="17365D"/>
        </w:rPr>
        <w:t xml:space="preserve">, kuru </w:t>
      </w:r>
      <w:r w:rsidRPr="00D613A6">
        <w:rPr>
          <w:noProof/>
          <w:color w:val="17365D"/>
        </w:rPr>
        <w:t>galvenokārt ietekmēj</w:t>
      </w:r>
      <w:r w:rsidR="00067CC5" w:rsidRPr="00D613A6">
        <w:rPr>
          <w:noProof/>
          <w:color w:val="17365D"/>
        </w:rPr>
        <w:t>a iemaksas dalībai projektā “Līdzdalības atbalstoši mākslīgā intelekta rīki uzticamas pilsoņu tiešsaistes aktivitātes atbalstam un dezinformācijas atmaskošanai</w:t>
      </w:r>
      <w:r w:rsidR="00C5419C" w:rsidRPr="00D613A6">
        <w:rPr>
          <w:noProof/>
          <w:color w:val="17365D"/>
        </w:rPr>
        <w:t>.</w:t>
      </w:r>
    </w:p>
    <w:p w14:paraId="1B3A4C40" w14:textId="36ED3133" w:rsidR="00A7147F" w:rsidRPr="00D613A6" w:rsidRDefault="00AF21EE" w:rsidP="00EC5785">
      <w:pPr>
        <w:spacing w:before="120" w:after="60"/>
        <w:rPr>
          <w:noProof/>
          <w:color w:val="17365D"/>
        </w:rPr>
      </w:pPr>
      <w:r w:rsidRPr="00D613A6">
        <w:rPr>
          <w:noProof/>
          <w:color w:val="17365D"/>
        </w:rPr>
        <w:t xml:space="preserve">Pārskata gadā lielākie izdevumi veikti funkcijās: izglītība </w:t>
      </w:r>
      <w:r w:rsidR="009B03AE" w:rsidRPr="00D613A6">
        <w:rPr>
          <w:noProof/>
          <w:color w:val="17365D"/>
        </w:rPr>
        <w:t>462,9</w:t>
      </w:r>
      <w:r w:rsidRPr="00D613A6">
        <w:rPr>
          <w:noProof/>
          <w:color w:val="17365D"/>
        </w:rPr>
        <w:t xml:space="preserve"> milj. </w:t>
      </w:r>
      <w:r w:rsidRPr="00D613A6">
        <w:rPr>
          <w:i/>
          <w:noProof/>
          <w:color w:val="17365D"/>
        </w:rPr>
        <w:t>euro</w:t>
      </w:r>
      <w:r w:rsidRPr="00D613A6">
        <w:rPr>
          <w:noProof/>
          <w:color w:val="17365D"/>
        </w:rPr>
        <w:t xml:space="preserve"> vērtībā jeb </w:t>
      </w:r>
      <w:r w:rsidR="0042624D" w:rsidRPr="00D613A6">
        <w:rPr>
          <w:noProof/>
          <w:color w:val="17365D"/>
        </w:rPr>
        <w:t>77</w:t>
      </w:r>
      <w:r w:rsidRPr="00D613A6">
        <w:rPr>
          <w:noProof/>
          <w:color w:val="17365D"/>
        </w:rPr>
        <w:t>,</w:t>
      </w:r>
      <w:r w:rsidR="0042624D" w:rsidRPr="00D613A6">
        <w:rPr>
          <w:noProof/>
          <w:color w:val="17365D"/>
        </w:rPr>
        <w:t>08 </w:t>
      </w:r>
      <w:r w:rsidRPr="00D613A6">
        <w:rPr>
          <w:noProof/>
          <w:color w:val="17365D"/>
        </w:rPr>
        <w:t xml:space="preserve">% no kopējiem izdevumiem, vispārējie valdības dienesti – </w:t>
      </w:r>
      <w:r w:rsidR="00301AEB" w:rsidRPr="00D613A6">
        <w:rPr>
          <w:noProof/>
          <w:color w:val="17365D"/>
        </w:rPr>
        <w:t>97,8</w:t>
      </w:r>
      <w:r w:rsidRPr="00D613A6">
        <w:rPr>
          <w:noProof/>
          <w:color w:val="17365D"/>
        </w:rPr>
        <w:t xml:space="preserve"> milj. </w:t>
      </w:r>
      <w:r w:rsidRPr="00D613A6">
        <w:rPr>
          <w:i/>
          <w:noProof/>
          <w:color w:val="17365D"/>
        </w:rPr>
        <w:t>euro</w:t>
      </w:r>
      <w:r w:rsidRPr="00D613A6">
        <w:rPr>
          <w:noProof/>
          <w:color w:val="17365D"/>
        </w:rPr>
        <w:t xml:space="preserve"> jeb 1</w:t>
      </w:r>
      <w:r w:rsidR="00301AEB" w:rsidRPr="00D613A6">
        <w:rPr>
          <w:noProof/>
          <w:color w:val="17365D"/>
        </w:rPr>
        <w:t>6,29</w:t>
      </w:r>
      <w:r w:rsidRPr="00D613A6">
        <w:rPr>
          <w:noProof/>
          <w:color w:val="17365D"/>
        </w:rPr>
        <w:t xml:space="preserve"> % no kopējiem izdevumiem un </w:t>
      </w:r>
      <w:r w:rsidR="00301AEB" w:rsidRPr="00D613A6">
        <w:rPr>
          <w:noProof/>
          <w:color w:val="17365D"/>
        </w:rPr>
        <w:t>ekonomiskā darbība</w:t>
      </w:r>
      <w:r w:rsidRPr="00D613A6">
        <w:rPr>
          <w:noProof/>
          <w:color w:val="17365D"/>
        </w:rPr>
        <w:t xml:space="preserve"> – </w:t>
      </w:r>
      <w:r w:rsidR="00C27116" w:rsidRPr="00D613A6">
        <w:rPr>
          <w:noProof/>
          <w:color w:val="17365D"/>
        </w:rPr>
        <w:t>22,7</w:t>
      </w:r>
      <w:r w:rsidRPr="00D613A6">
        <w:rPr>
          <w:noProof/>
          <w:color w:val="17365D"/>
        </w:rPr>
        <w:t xml:space="preserve"> milj. </w:t>
      </w:r>
      <w:r w:rsidRPr="00D613A6">
        <w:rPr>
          <w:i/>
          <w:noProof/>
          <w:color w:val="17365D"/>
        </w:rPr>
        <w:t>euro</w:t>
      </w:r>
      <w:r w:rsidR="00C27116" w:rsidRPr="00D613A6">
        <w:rPr>
          <w:noProof/>
          <w:color w:val="17365D"/>
        </w:rPr>
        <w:t xml:space="preserve"> jeb 3</w:t>
      </w:r>
      <w:r w:rsidRPr="00D613A6">
        <w:rPr>
          <w:noProof/>
          <w:color w:val="17365D"/>
        </w:rPr>
        <w:t>,</w:t>
      </w:r>
      <w:r w:rsidR="00C27116" w:rsidRPr="00D613A6">
        <w:rPr>
          <w:noProof/>
          <w:color w:val="17365D"/>
        </w:rPr>
        <w:t>78</w:t>
      </w:r>
      <w:r w:rsidRPr="00D613A6">
        <w:rPr>
          <w:noProof/>
          <w:color w:val="17365D"/>
        </w:rPr>
        <w:t xml:space="preserve"> % no kopējiem izdevumiem.</w:t>
      </w:r>
    </w:p>
    <w:p w14:paraId="512A1453" w14:textId="1FA3F918" w:rsidR="002C6E11" w:rsidRPr="00D613A6" w:rsidRDefault="002C6E11" w:rsidP="002C6E11">
      <w:pPr>
        <w:pStyle w:val="Pamatteksts1"/>
        <w:rPr>
          <w:bCs/>
          <w:noProof w:val="0"/>
          <w:color w:val="17365D"/>
        </w:rPr>
      </w:pPr>
      <w:r w:rsidRPr="00D613A6">
        <w:rPr>
          <w:bCs/>
          <w:noProof w:val="0"/>
          <w:color w:val="17365D"/>
        </w:rPr>
        <w:t>202</w:t>
      </w:r>
      <w:r w:rsidR="00C27116" w:rsidRPr="00D613A6">
        <w:rPr>
          <w:bCs/>
          <w:noProof w:val="0"/>
          <w:color w:val="17365D"/>
        </w:rPr>
        <w:t>4</w:t>
      </w:r>
      <w:r w:rsidRPr="00D613A6">
        <w:rPr>
          <w:bCs/>
          <w:noProof w:val="0"/>
          <w:color w:val="17365D"/>
        </w:rPr>
        <w:t xml:space="preserve">. gadā no valsts budžeta daļēji finansētu atvasinātu publisku personu un budžeta nefinansētu iestāžu pamatdarbības ieņēmumi pārsniedza izdevumus, veidojot </w:t>
      </w:r>
      <w:r w:rsidRPr="00D613A6">
        <w:rPr>
          <w:bCs/>
          <w:noProof w:val="0"/>
          <w:color w:val="17365D"/>
          <w:u w:val="single"/>
        </w:rPr>
        <w:t>finansiālās bilances pārpalikumu</w:t>
      </w:r>
      <w:r w:rsidRPr="00D613A6">
        <w:rPr>
          <w:bCs/>
          <w:noProof w:val="0"/>
          <w:color w:val="17365D"/>
        </w:rPr>
        <w:t xml:space="preserve"> </w:t>
      </w:r>
      <w:r w:rsidR="00C27116" w:rsidRPr="00D613A6">
        <w:rPr>
          <w:bCs/>
          <w:noProof w:val="0"/>
          <w:color w:val="17365D"/>
        </w:rPr>
        <w:t>60</w:t>
      </w:r>
      <w:r w:rsidRPr="00D613A6">
        <w:rPr>
          <w:bCs/>
          <w:noProof w:val="0"/>
          <w:color w:val="17365D"/>
        </w:rPr>
        <w:t>,</w:t>
      </w:r>
      <w:r w:rsidR="00C27116" w:rsidRPr="00D613A6">
        <w:rPr>
          <w:bCs/>
          <w:noProof w:val="0"/>
          <w:color w:val="17365D"/>
        </w:rPr>
        <w:t>6</w:t>
      </w:r>
      <w:r w:rsidR="004B35F9" w:rsidRPr="00D613A6">
        <w:rPr>
          <w:bCs/>
          <w:noProof w:val="0"/>
          <w:color w:val="17365D"/>
        </w:rPr>
        <w:t> </w:t>
      </w:r>
      <w:r w:rsidRPr="00D613A6">
        <w:rPr>
          <w:bCs/>
          <w:noProof w:val="0"/>
          <w:color w:val="17365D"/>
        </w:rPr>
        <w:t xml:space="preserve">milj. </w:t>
      </w:r>
      <w:r w:rsidRPr="00D613A6">
        <w:rPr>
          <w:bCs/>
          <w:i/>
          <w:noProof w:val="0"/>
          <w:color w:val="17365D"/>
        </w:rPr>
        <w:t>euro</w:t>
      </w:r>
      <w:r w:rsidRPr="00D613A6">
        <w:rPr>
          <w:bCs/>
          <w:noProof w:val="0"/>
          <w:color w:val="17365D"/>
        </w:rPr>
        <w:t>, kas salīdzinājumā ar 20</w:t>
      </w:r>
      <w:r w:rsidR="00FB7255" w:rsidRPr="00D613A6">
        <w:rPr>
          <w:bCs/>
          <w:noProof w:val="0"/>
          <w:color w:val="17365D"/>
        </w:rPr>
        <w:t>2</w:t>
      </w:r>
      <w:r w:rsidR="00C27116" w:rsidRPr="00D613A6">
        <w:rPr>
          <w:bCs/>
          <w:noProof w:val="0"/>
          <w:color w:val="17365D"/>
        </w:rPr>
        <w:t>3</w:t>
      </w:r>
      <w:r w:rsidRPr="00D613A6">
        <w:rPr>
          <w:bCs/>
          <w:noProof w:val="0"/>
          <w:color w:val="17365D"/>
        </w:rPr>
        <w:t>.</w:t>
      </w:r>
      <w:r w:rsidR="004B35F9" w:rsidRPr="00D613A6">
        <w:rPr>
          <w:bCs/>
          <w:noProof w:val="0"/>
          <w:color w:val="17365D"/>
        </w:rPr>
        <w:t> </w:t>
      </w:r>
      <w:r w:rsidRPr="00D613A6">
        <w:rPr>
          <w:bCs/>
          <w:noProof w:val="0"/>
          <w:color w:val="17365D"/>
        </w:rPr>
        <w:t xml:space="preserve">gadu </w:t>
      </w:r>
      <w:r w:rsidR="00C27116" w:rsidRPr="00D613A6">
        <w:rPr>
          <w:bCs/>
          <w:noProof w:val="0"/>
          <w:color w:val="17365D"/>
        </w:rPr>
        <w:t>palielinājies</w:t>
      </w:r>
      <w:r w:rsidRPr="00D613A6">
        <w:rPr>
          <w:bCs/>
          <w:noProof w:val="0"/>
          <w:color w:val="17365D"/>
        </w:rPr>
        <w:t xml:space="preserve"> par </w:t>
      </w:r>
      <w:r w:rsidR="00C27116" w:rsidRPr="00D613A6">
        <w:rPr>
          <w:bCs/>
          <w:noProof w:val="0"/>
          <w:color w:val="17365D"/>
        </w:rPr>
        <w:t>47</w:t>
      </w:r>
      <w:r w:rsidRPr="00D613A6">
        <w:rPr>
          <w:bCs/>
          <w:noProof w:val="0"/>
          <w:color w:val="17365D"/>
        </w:rPr>
        <w:t>,</w:t>
      </w:r>
      <w:r w:rsidR="00C27116" w:rsidRPr="00D613A6">
        <w:rPr>
          <w:bCs/>
          <w:noProof w:val="0"/>
          <w:color w:val="17365D"/>
        </w:rPr>
        <w:t>6</w:t>
      </w:r>
      <w:r w:rsidR="004B35F9" w:rsidRPr="00D613A6">
        <w:rPr>
          <w:bCs/>
          <w:noProof w:val="0"/>
          <w:color w:val="17365D"/>
        </w:rPr>
        <w:t> </w:t>
      </w:r>
      <w:r w:rsidRPr="00D613A6">
        <w:rPr>
          <w:bCs/>
          <w:noProof w:val="0"/>
          <w:color w:val="17365D"/>
        </w:rPr>
        <w:t xml:space="preserve">milj. </w:t>
      </w:r>
      <w:r w:rsidRPr="00D613A6">
        <w:rPr>
          <w:bCs/>
          <w:i/>
          <w:noProof w:val="0"/>
          <w:color w:val="17365D"/>
        </w:rPr>
        <w:t>euro</w:t>
      </w:r>
      <w:r w:rsidRPr="00D613A6">
        <w:rPr>
          <w:bCs/>
          <w:noProof w:val="0"/>
          <w:color w:val="17365D"/>
        </w:rPr>
        <w:t>.</w:t>
      </w:r>
    </w:p>
    <w:p w14:paraId="1410FA2C" w14:textId="5347A305" w:rsidR="000832D1" w:rsidRPr="00D613A6" w:rsidRDefault="000832D1" w:rsidP="000832D1">
      <w:pPr>
        <w:pStyle w:val="Heading1"/>
        <w:rPr>
          <w:rFonts w:cs="Times New Roman"/>
          <w:color w:val="17365D"/>
        </w:rPr>
      </w:pPr>
      <w:r w:rsidRPr="00D613A6">
        <w:rPr>
          <w:rFonts w:cs="Times New Roman"/>
          <w:color w:val="17365D"/>
        </w:rPr>
        <w:t>Budžeta nefinansētu iestāžu pamatdarbība</w:t>
      </w:r>
    </w:p>
    <w:p w14:paraId="11ED8C53" w14:textId="444578B2" w:rsidR="00817982" w:rsidRPr="00D613A6" w:rsidRDefault="00615D00" w:rsidP="001926A9">
      <w:pPr>
        <w:pStyle w:val="Pamatteksts1"/>
        <w:ind w:firstLine="709"/>
        <w:rPr>
          <w:color w:val="17365D"/>
        </w:rPr>
      </w:pPr>
      <w:r w:rsidRPr="00D613A6">
        <w:rPr>
          <w:color w:val="17365D"/>
        </w:rPr>
        <w:t>Likuma par budžetu un finanšu vadību 41</w:t>
      </w:r>
      <w:r w:rsidR="001907AD" w:rsidRPr="00D613A6">
        <w:rPr>
          <w:color w:val="17365D"/>
        </w:rPr>
        <w:t>.</w:t>
      </w:r>
      <w:r w:rsidRPr="00D613A6">
        <w:rPr>
          <w:color w:val="17365D"/>
        </w:rPr>
        <w:t> panta</w:t>
      </w:r>
      <w:r w:rsidR="00481CE3" w:rsidRPr="00D613A6">
        <w:rPr>
          <w:color w:val="17365D"/>
        </w:rPr>
        <w:t xml:space="preserve"> pirmā</w:t>
      </w:r>
      <w:r w:rsidR="00A23A85" w:rsidRPr="00D613A6">
        <w:rPr>
          <w:color w:val="17365D"/>
        </w:rPr>
        <w:t xml:space="preserve"> </w:t>
      </w:r>
      <w:r w:rsidRPr="00D613A6">
        <w:rPr>
          <w:color w:val="17365D"/>
        </w:rPr>
        <w:t>daļa nosaka</w:t>
      </w:r>
      <w:r w:rsidR="004133B3" w:rsidRPr="00D613A6">
        <w:rPr>
          <w:color w:val="17365D"/>
        </w:rPr>
        <w:t>:</w:t>
      </w:r>
      <w:r w:rsidRPr="00D613A6">
        <w:rPr>
          <w:color w:val="17365D"/>
        </w:rPr>
        <w:t xml:space="preserve"> “Budžeta nefinansētu iestāžu nākamā gada budžetu projektus apstiprināšanai Ministru kabinetā iesniedz ministrijas (pārraudzības institūcijas) līdz kārtējā gada 1.</w:t>
      </w:r>
      <w:r w:rsidR="004A3581" w:rsidRPr="00D613A6">
        <w:rPr>
          <w:color w:val="17365D"/>
        </w:rPr>
        <w:t xml:space="preserve"> </w:t>
      </w:r>
      <w:r w:rsidRPr="00D613A6">
        <w:rPr>
          <w:color w:val="17365D"/>
        </w:rPr>
        <w:t>septembrim, un Ministru kabinets tos apstiprina līdz kārtējā gada 15.</w:t>
      </w:r>
      <w:r w:rsidR="004B35F9" w:rsidRPr="00D613A6">
        <w:rPr>
          <w:color w:val="17365D"/>
        </w:rPr>
        <w:t> </w:t>
      </w:r>
      <w:r w:rsidRPr="00D613A6">
        <w:rPr>
          <w:color w:val="17365D"/>
        </w:rPr>
        <w:t>septembrim”</w:t>
      </w:r>
      <w:r w:rsidR="001926A9" w:rsidRPr="00D613A6">
        <w:rPr>
          <w:color w:val="17365D"/>
        </w:rPr>
        <w:t>.</w:t>
      </w:r>
      <w:r w:rsidRPr="00D613A6">
        <w:rPr>
          <w:color w:val="17365D"/>
        </w:rPr>
        <w:t xml:space="preserve"> </w:t>
      </w:r>
      <w:r w:rsidR="00C2085C" w:rsidRPr="00D613A6">
        <w:rPr>
          <w:noProof w:val="0"/>
          <w:color w:val="17365D"/>
        </w:rPr>
        <w:t xml:space="preserve">Valsts konsolidētā budžeta izpildē budžeta </w:t>
      </w:r>
      <w:r w:rsidR="00245401" w:rsidRPr="00D613A6">
        <w:rPr>
          <w:noProof w:val="0"/>
          <w:color w:val="17365D"/>
        </w:rPr>
        <w:t>nefinansēto</w:t>
      </w:r>
      <w:r w:rsidR="00C2085C" w:rsidRPr="00D613A6">
        <w:rPr>
          <w:noProof w:val="0"/>
          <w:color w:val="17365D"/>
        </w:rPr>
        <w:t xml:space="preserve"> iestāžu pamatdarbības ieņēmumi un izdevumi iekļauti no valsts budžeta daļēji finansētu atvasinātu publisku personu un budžeta nefinansētu iestāžu konsolidētā pamatdarbības budžeta izpildē</w:t>
      </w:r>
      <w:r w:rsidR="00372032" w:rsidRPr="00D613A6">
        <w:rPr>
          <w:noProof w:val="0"/>
          <w:color w:val="17365D"/>
        </w:rPr>
        <w:t xml:space="preserve"> (skatīt </w:t>
      </w:r>
      <w:r w:rsidR="00872488" w:rsidRPr="00D613A6">
        <w:rPr>
          <w:noProof w:val="0"/>
          <w:color w:val="17365D"/>
        </w:rPr>
        <w:t>6.</w:t>
      </w:r>
      <w:r w:rsidR="00641409" w:rsidRPr="00D613A6">
        <w:rPr>
          <w:noProof w:val="0"/>
          <w:color w:val="17365D"/>
        </w:rPr>
        <w:t>12</w:t>
      </w:r>
      <w:r w:rsidR="00395AC6" w:rsidRPr="00D613A6">
        <w:rPr>
          <w:noProof w:val="0"/>
          <w:color w:val="17365D"/>
        </w:rPr>
        <w:t>. tabulu)</w:t>
      </w:r>
      <w:r w:rsidR="00C2085C" w:rsidRPr="00D613A6">
        <w:rPr>
          <w:noProof w:val="0"/>
          <w:color w:val="17365D"/>
        </w:rPr>
        <w:t>.</w:t>
      </w:r>
    </w:p>
    <w:p w14:paraId="45F1821F" w14:textId="40B32F06" w:rsidR="003009DB" w:rsidRPr="00D613A6" w:rsidRDefault="00C2085C" w:rsidP="00701204">
      <w:pPr>
        <w:pStyle w:val="Pamatteksts1"/>
        <w:ind w:firstLine="709"/>
        <w:rPr>
          <w:rFonts w:eastAsia="Arial Unicode MS"/>
          <w:i/>
          <w:color w:val="17365D"/>
          <w:sz w:val="20"/>
        </w:rPr>
      </w:pPr>
      <w:r w:rsidRPr="00D613A6">
        <w:rPr>
          <w:color w:val="17365D"/>
        </w:rPr>
        <w:t>Skaidrojumā sniegt</w:t>
      </w:r>
      <w:r w:rsidR="00B27D45" w:rsidRPr="00D613A6">
        <w:rPr>
          <w:color w:val="17365D"/>
        </w:rPr>
        <w:t>a</w:t>
      </w:r>
      <w:r w:rsidRPr="00D613A6">
        <w:rPr>
          <w:color w:val="17365D"/>
        </w:rPr>
        <w:t xml:space="preserve"> </w:t>
      </w:r>
      <w:r w:rsidR="00B27D45" w:rsidRPr="00D613A6">
        <w:rPr>
          <w:color w:val="17365D"/>
        </w:rPr>
        <w:t xml:space="preserve">kopsavilkuma </w:t>
      </w:r>
      <w:r w:rsidRPr="00D613A6">
        <w:rPr>
          <w:color w:val="17365D"/>
        </w:rPr>
        <w:t xml:space="preserve">informācija par </w:t>
      </w:r>
      <w:r w:rsidR="00615D00" w:rsidRPr="00D613A6">
        <w:rPr>
          <w:color w:val="17365D"/>
        </w:rPr>
        <w:t>budžeta nefinan</w:t>
      </w:r>
      <w:r w:rsidR="001926A9" w:rsidRPr="00D613A6">
        <w:rPr>
          <w:color w:val="17365D"/>
        </w:rPr>
        <w:t>sētu</w:t>
      </w:r>
      <w:r w:rsidR="00615D00" w:rsidRPr="00D613A6">
        <w:rPr>
          <w:color w:val="17365D"/>
        </w:rPr>
        <w:t xml:space="preserve"> iestāžu</w:t>
      </w:r>
      <w:r w:rsidR="001926A9" w:rsidRPr="00D613A6">
        <w:rPr>
          <w:rStyle w:val="FootnoteReference"/>
          <w:color w:val="17365D"/>
        </w:rPr>
        <w:footnoteReference w:id="2"/>
      </w:r>
      <w:r w:rsidR="00615D00" w:rsidRPr="00D613A6">
        <w:rPr>
          <w:color w:val="17365D"/>
        </w:rPr>
        <w:t xml:space="preserve"> pamatdarbības ieņēmumiem un izdevumie</w:t>
      </w:r>
      <w:r w:rsidR="00606718" w:rsidRPr="00D613A6">
        <w:rPr>
          <w:color w:val="17365D"/>
        </w:rPr>
        <w:t>m</w:t>
      </w:r>
      <w:r w:rsidR="006928AC" w:rsidRPr="00D613A6">
        <w:rPr>
          <w:color w:val="17365D"/>
        </w:rPr>
        <w:t xml:space="preserve"> 20</w:t>
      </w:r>
      <w:r w:rsidR="002C6E11" w:rsidRPr="00D613A6">
        <w:rPr>
          <w:color w:val="17365D"/>
        </w:rPr>
        <w:t>2</w:t>
      </w:r>
      <w:r w:rsidR="00C27116" w:rsidRPr="00D613A6">
        <w:rPr>
          <w:color w:val="17365D"/>
        </w:rPr>
        <w:t>4</w:t>
      </w:r>
      <w:r w:rsidR="006928AC" w:rsidRPr="00D613A6">
        <w:rPr>
          <w:color w:val="17365D"/>
        </w:rPr>
        <w:t>.</w:t>
      </w:r>
      <w:r w:rsidR="004B35F9" w:rsidRPr="00D613A6">
        <w:rPr>
          <w:color w:val="17365D"/>
        </w:rPr>
        <w:t> </w:t>
      </w:r>
      <w:r w:rsidR="006928AC" w:rsidRPr="00D613A6">
        <w:rPr>
          <w:color w:val="17365D"/>
        </w:rPr>
        <w:t>gadā</w:t>
      </w:r>
      <w:r w:rsidR="00606718" w:rsidRPr="00D613A6">
        <w:rPr>
          <w:color w:val="17365D"/>
        </w:rPr>
        <w:t>.</w:t>
      </w:r>
      <w:r w:rsidR="003009DB" w:rsidRPr="00D613A6">
        <w:rPr>
          <w:rFonts w:eastAsia="Arial Unicode MS"/>
          <w:i/>
          <w:color w:val="17365D"/>
          <w:sz w:val="20"/>
        </w:rPr>
        <w:t xml:space="preserve">   </w:t>
      </w:r>
    </w:p>
    <w:p w14:paraId="019CF357" w14:textId="77777777" w:rsidR="002C2BBE" w:rsidRPr="00D613A6" w:rsidRDefault="002C2BBE" w:rsidP="00C07DC1">
      <w:pPr>
        <w:spacing w:before="240" w:after="0"/>
        <w:ind w:left="4111" w:hanging="2671"/>
        <w:jc w:val="right"/>
        <w:rPr>
          <w:rFonts w:eastAsia="Arial Unicode MS"/>
          <w:i/>
          <w:color w:val="17365D"/>
          <w:sz w:val="20"/>
        </w:rPr>
      </w:pPr>
    </w:p>
    <w:p w14:paraId="194FF3EE" w14:textId="7217A75F" w:rsidR="00606718" w:rsidRPr="00D613A6" w:rsidRDefault="00872488" w:rsidP="00C07DC1">
      <w:pPr>
        <w:spacing w:before="240" w:after="0"/>
        <w:ind w:left="4111" w:hanging="2671"/>
        <w:jc w:val="right"/>
        <w:rPr>
          <w:rFonts w:eastAsia="Arial Unicode MS"/>
          <w:i/>
          <w:color w:val="17365D"/>
          <w:sz w:val="20"/>
        </w:rPr>
      </w:pPr>
      <w:r w:rsidRPr="00D613A6">
        <w:rPr>
          <w:rFonts w:eastAsia="Arial Unicode MS"/>
          <w:i/>
          <w:color w:val="17365D"/>
          <w:sz w:val="20"/>
        </w:rPr>
        <w:lastRenderedPageBreak/>
        <w:t>6.</w:t>
      </w:r>
      <w:r w:rsidR="00697F22" w:rsidRPr="00D613A6">
        <w:rPr>
          <w:rFonts w:eastAsia="Arial Unicode MS"/>
          <w:i/>
          <w:color w:val="17365D"/>
          <w:sz w:val="20"/>
        </w:rPr>
        <w:t>1</w:t>
      </w:r>
      <w:r w:rsidR="00C551CC" w:rsidRPr="00D613A6">
        <w:rPr>
          <w:rFonts w:eastAsia="Arial Unicode MS"/>
          <w:i/>
          <w:color w:val="17365D"/>
          <w:sz w:val="20"/>
        </w:rPr>
        <w:t>2</w:t>
      </w:r>
      <w:r w:rsidR="00606718" w:rsidRPr="00D613A6">
        <w:rPr>
          <w:rFonts w:eastAsia="Arial Unicode MS"/>
          <w:i/>
          <w:color w:val="17365D"/>
          <w:sz w:val="20"/>
        </w:rPr>
        <w:t>. tabula.</w:t>
      </w:r>
      <w:r w:rsidR="00DB3099" w:rsidRPr="00D613A6">
        <w:rPr>
          <w:rFonts w:eastAsia="Arial Unicode MS"/>
          <w:i/>
          <w:color w:val="17365D"/>
          <w:sz w:val="20"/>
        </w:rPr>
        <w:t xml:space="preserve"> Budžeta nefinansētu iestāžu</w:t>
      </w:r>
      <w:r w:rsidR="00606718" w:rsidRPr="00D613A6">
        <w:rPr>
          <w:rFonts w:eastAsia="Arial Unicode MS"/>
          <w:i/>
          <w:color w:val="17365D"/>
          <w:sz w:val="20"/>
        </w:rPr>
        <w:t xml:space="preserve"> </w:t>
      </w:r>
      <w:r w:rsidR="00DB3099" w:rsidRPr="00D613A6">
        <w:rPr>
          <w:bCs/>
          <w:i/>
          <w:color w:val="17365D"/>
          <w:sz w:val="20"/>
          <w:szCs w:val="20"/>
        </w:rPr>
        <w:t>p</w:t>
      </w:r>
      <w:r w:rsidR="00606718" w:rsidRPr="00D613A6">
        <w:rPr>
          <w:bCs/>
          <w:i/>
          <w:color w:val="17365D"/>
          <w:sz w:val="20"/>
          <w:szCs w:val="20"/>
        </w:rPr>
        <w:t xml:space="preserve">amatdarbības </w:t>
      </w:r>
      <w:r w:rsidR="003F4DDA" w:rsidRPr="00D613A6">
        <w:rPr>
          <w:bCs/>
          <w:i/>
          <w:color w:val="17365D"/>
          <w:sz w:val="20"/>
          <w:szCs w:val="20"/>
        </w:rPr>
        <w:t xml:space="preserve">ieņēmumi un izdevumi </w:t>
      </w:r>
      <w:r w:rsidR="00606718" w:rsidRPr="00D613A6">
        <w:rPr>
          <w:bCs/>
          <w:i/>
          <w:color w:val="17365D"/>
          <w:sz w:val="20"/>
          <w:szCs w:val="20"/>
        </w:rPr>
        <w:t>(</w:t>
      </w:r>
      <w:r w:rsidR="00606718" w:rsidRPr="00D613A6">
        <w:rPr>
          <w:i/>
          <w:color w:val="17365D"/>
          <w:sz w:val="20"/>
        </w:rPr>
        <w:t>euro)</w:t>
      </w:r>
    </w:p>
    <w:tbl>
      <w:tblPr>
        <w:tblStyle w:val="TableGrid"/>
        <w:tblW w:w="9361" w:type="dxa"/>
        <w:tblInd w:w="-5" w:type="dxa"/>
        <w:tblBorders>
          <w:top w:val="single" w:sz="4" w:space="0" w:color="17365D"/>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639"/>
        <w:gridCol w:w="1692"/>
        <w:gridCol w:w="1022"/>
        <w:gridCol w:w="1022"/>
        <w:gridCol w:w="898"/>
        <w:gridCol w:w="1022"/>
        <w:gridCol w:w="1022"/>
        <w:gridCol w:w="1022"/>
        <w:gridCol w:w="1022"/>
      </w:tblGrid>
      <w:tr w:rsidR="00D613A6" w:rsidRPr="00D613A6" w14:paraId="407E69C2" w14:textId="77777777" w:rsidTr="00A312B3">
        <w:trPr>
          <w:trHeight w:val="284"/>
          <w:tblHeader/>
        </w:trPr>
        <w:tc>
          <w:tcPr>
            <w:tcW w:w="639" w:type="dxa"/>
            <w:vMerge w:val="restart"/>
            <w:tcBorders>
              <w:top w:val="nil"/>
            </w:tcBorders>
            <w:shd w:val="clear" w:color="auto" w:fill="B9CDE5"/>
            <w:vAlign w:val="center"/>
          </w:tcPr>
          <w:p w14:paraId="0FAF0BC9" w14:textId="269A0F76"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Klasi-fikāci-jas kods</w:t>
            </w:r>
          </w:p>
          <w:p w14:paraId="2B4DA40A" w14:textId="372FF81E" w:rsidR="00F2451C" w:rsidRPr="00D613A6" w:rsidRDefault="00F2451C" w:rsidP="00235F0B">
            <w:pPr>
              <w:pStyle w:val="Pamatteksts1"/>
              <w:spacing w:before="60" w:after="60"/>
              <w:jc w:val="center"/>
              <w:rPr>
                <w:b/>
                <w:color w:val="17365D"/>
                <w:sz w:val="16"/>
                <w:szCs w:val="16"/>
              </w:rPr>
            </w:pPr>
          </w:p>
        </w:tc>
        <w:tc>
          <w:tcPr>
            <w:tcW w:w="1692" w:type="dxa"/>
            <w:vMerge w:val="restart"/>
            <w:tcBorders>
              <w:top w:val="nil"/>
            </w:tcBorders>
            <w:shd w:val="clear" w:color="auto" w:fill="B9CDE5"/>
            <w:vAlign w:val="center"/>
          </w:tcPr>
          <w:p w14:paraId="5C9ADE69" w14:textId="77777777"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Posteņa nosaukums</w:t>
            </w:r>
          </w:p>
        </w:tc>
        <w:tc>
          <w:tcPr>
            <w:tcW w:w="2942" w:type="dxa"/>
            <w:gridSpan w:val="3"/>
            <w:tcBorders>
              <w:top w:val="nil"/>
            </w:tcBorders>
            <w:shd w:val="clear" w:color="auto" w:fill="B9CDE5"/>
            <w:vAlign w:val="center"/>
          </w:tcPr>
          <w:p w14:paraId="4DD9F87F" w14:textId="44F0F37E"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Likums/plāns gadam</w:t>
            </w:r>
          </w:p>
        </w:tc>
        <w:tc>
          <w:tcPr>
            <w:tcW w:w="4088" w:type="dxa"/>
            <w:gridSpan w:val="4"/>
            <w:tcBorders>
              <w:top w:val="nil"/>
            </w:tcBorders>
            <w:shd w:val="clear" w:color="auto" w:fill="B9CDE5"/>
            <w:vAlign w:val="center"/>
          </w:tcPr>
          <w:p w14:paraId="327C1AB0" w14:textId="1890631D"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Budžeta izpilde</w:t>
            </w:r>
          </w:p>
        </w:tc>
      </w:tr>
      <w:tr w:rsidR="00D613A6" w:rsidRPr="00D613A6" w14:paraId="2F486175" w14:textId="77777777" w:rsidTr="00A312B3">
        <w:trPr>
          <w:trHeight w:val="284"/>
          <w:tblHeader/>
        </w:trPr>
        <w:tc>
          <w:tcPr>
            <w:tcW w:w="639" w:type="dxa"/>
            <w:vMerge/>
            <w:shd w:val="clear" w:color="auto" w:fill="B9CDE5"/>
            <w:vAlign w:val="center"/>
          </w:tcPr>
          <w:p w14:paraId="4CAC0D92" w14:textId="548F11E9" w:rsidR="00F2451C" w:rsidRPr="00D613A6" w:rsidRDefault="00F2451C" w:rsidP="00235F0B">
            <w:pPr>
              <w:pStyle w:val="Pamatteksts1"/>
              <w:spacing w:before="60" w:after="60"/>
              <w:jc w:val="center"/>
              <w:rPr>
                <w:color w:val="17365D"/>
                <w:sz w:val="16"/>
                <w:szCs w:val="16"/>
              </w:rPr>
            </w:pPr>
          </w:p>
        </w:tc>
        <w:tc>
          <w:tcPr>
            <w:tcW w:w="1692" w:type="dxa"/>
            <w:vMerge/>
            <w:shd w:val="clear" w:color="auto" w:fill="B9CDE5"/>
            <w:vAlign w:val="center"/>
          </w:tcPr>
          <w:p w14:paraId="7F91688F" w14:textId="77777777" w:rsidR="00F2451C" w:rsidRPr="00D613A6" w:rsidRDefault="00F2451C" w:rsidP="00235F0B">
            <w:pPr>
              <w:pStyle w:val="Pamatteksts1"/>
              <w:spacing w:before="60" w:after="60"/>
              <w:ind w:firstLine="0"/>
              <w:jc w:val="center"/>
              <w:rPr>
                <w:color w:val="17365D"/>
                <w:sz w:val="16"/>
                <w:szCs w:val="16"/>
              </w:rPr>
            </w:pPr>
          </w:p>
        </w:tc>
        <w:tc>
          <w:tcPr>
            <w:tcW w:w="1022" w:type="dxa"/>
            <w:vMerge w:val="restart"/>
            <w:shd w:val="clear" w:color="auto" w:fill="B9CDE5"/>
            <w:vAlign w:val="center"/>
          </w:tcPr>
          <w:p w14:paraId="086543F1" w14:textId="77777777" w:rsidR="00F2451C" w:rsidRPr="00D613A6" w:rsidRDefault="00F2451C" w:rsidP="00235F0B">
            <w:pPr>
              <w:pStyle w:val="Pamatteksts1"/>
              <w:spacing w:before="60" w:after="60"/>
              <w:ind w:left="-110" w:firstLine="0"/>
              <w:jc w:val="center"/>
              <w:rPr>
                <w:b/>
                <w:color w:val="17365D"/>
                <w:sz w:val="16"/>
                <w:szCs w:val="16"/>
              </w:rPr>
            </w:pPr>
            <w:r w:rsidRPr="00D613A6">
              <w:rPr>
                <w:b/>
                <w:color w:val="17365D"/>
                <w:sz w:val="16"/>
                <w:szCs w:val="16"/>
              </w:rPr>
              <w:t>apstiprināts</w:t>
            </w:r>
          </w:p>
        </w:tc>
        <w:tc>
          <w:tcPr>
            <w:tcW w:w="1022" w:type="dxa"/>
            <w:vMerge w:val="restart"/>
            <w:shd w:val="clear" w:color="auto" w:fill="B9CDE5"/>
            <w:vAlign w:val="center"/>
          </w:tcPr>
          <w:p w14:paraId="2FEC301F" w14:textId="77777777"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ar izmaiņām</w:t>
            </w:r>
          </w:p>
        </w:tc>
        <w:tc>
          <w:tcPr>
            <w:tcW w:w="898" w:type="dxa"/>
            <w:vMerge w:val="restart"/>
            <w:shd w:val="clear" w:color="auto" w:fill="B9CDE5"/>
            <w:vAlign w:val="center"/>
          </w:tcPr>
          <w:p w14:paraId="6BB57A72" w14:textId="02178F3E" w:rsidR="00F2451C" w:rsidRPr="00D613A6" w:rsidRDefault="00F2451C" w:rsidP="00235F0B">
            <w:pPr>
              <w:spacing w:before="60" w:after="60"/>
              <w:ind w:firstLine="0"/>
              <w:jc w:val="center"/>
              <w:rPr>
                <w:b/>
                <w:noProof/>
                <w:color w:val="17365D"/>
                <w:sz w:val="16"/>
                <w:szCs w:val="16"/>
              </w:rPr>
            </w:pPr>
            <w:r w:rsidRPr="00D613A6">
              <w:rPr>
                <w:b/>
                <w:noProof/>
                <w:color w:val="17365D"/>
                <w:sz w:val="16"/>
                <w:szCs w:val="16"/>
              </w:rPr>
              <w:t>izmaiņas</w:t>
            </w:r>
          </w:p>
          <w:p w14:paraId="44B96562" w14:textId="2791D76D" w:rsidR="00F2451C" w:rsidRPr="00D613A6" w:rsidRDefault="00F2451C" w:rsidP="006B7C49">
            <w:pPr>
              <w:spacing w:before="60" w:after="60"/>
              <w:ind w:firstLine="0"/>
              <w:jc w:val="center"/>
              <w:rPr>
                <w:b/>
                <w:noProof/>
                <w:color w:val="17365D"/>
                <w:sz w:val="16"/>
                <w:szCs w:val="16"/>
              </w:rPr>
            </w:pPr>
            <w:r w:rsidRPr="00D613A6">
              <w:rPr>
                <w:b/>
                <w:noProof/>
                <w:color w:val="17365D"/>
                <w:sz w:val="16"/>
                <w:szCs w:val="16"/>
              </w:rPr>
              <w:t>(2</w:t>
            </w:r>
            <w:r w:rsidR="006B7C49" w:rsidRPr="00D613A6">
              <w:rPr>
                <w:b/>
                <w:noProof/>
                <w:color w:val="17365D"/>
                <w:sz w:val="16"/>
                <w:szCs w:val="16"/>
              </w:rPr>
              <w:t>.</w:t>
            </w:r>
            <w:r w:rsidRPr="00D613A6">
              <w:rPr>
                <w:b/>
                <w:noProof/>
                <w:color w:val="17365D"/>
                <w:sz w:val="16"/>
                <w:szCs w:val="16"/>
              </w:rPr>
              <w:t>– 1</w:t>
            </w:r>
            <w:r w:rsidR="006B7C49" w:rsidRPr="00D613A6">
              <w:rPr>
                <w:b/>
                <w:noProof/>
                <w:color w:val="17365D"/>
                <w:sz w:val="16"/>
                <w:szCs w:val="16"/>
              </w:rPr>
              <w:t>.</w:t>
            </w:r>
            <w:r w:rsidRPr="00D613A6">
              <w:rPr>
                <w:b/>
                <w:noProof/>
                <w:color w:val="17365D"/>
                <w:sz w:val="16"/>
                <w:szCs w:val="16"/>
              </w:rPr>
              <w:t>)</w:t>
            </w:r>
          </w:p>
        </w:tc>
        <w:tc>
          <w:tcPr>
            <w:tcW w:w="1022" w:type="dxa"/>
            <w:vMerge w:val="restart"/>
            <w:shd w:val="clear" w:color="auto" w:fill="B9CDE5"/>
            <w:vAlign w:val="center"/>
          </w:tcPr>
          <w:p w14:paraId="12FED840" w14:textId="3E1EF568" w:rsidR="00F2451C" w:rsidRPr="00D613A6" w:rsidRDefault="00F2451C" w:rsidP="00235F0B">
            <w:pPr>
              <w:spacing w:before="60" w:after="60"/>
              <w:ind w:firstLine="0"/>
              <w:jc w:val="center"/>
              <w:rPr>
                <w:b/>
                <w:noProof/>
                <w:color w:val="17365D"/>
                <w:sz w:val="16"/>
                <w:szCs w:val="16"/>
              </w:rPr>
            </w:pPr>
            <w:r w:rsidRPr="00D613A6">
              <w:rPr>
                <w:b/>
                <w:noProof/>
                <w:color w:val="17365D"/>
                <w:sz w:val="16"/>
                <w:szCs w:val="16"/>
              </w:rPr>
              <w:t>pārskata periodā</w:t>
            </w:r>
          </w:p>
        </w:tc>
        <w:tc>
          <w:tcPr>
            <w:tcW w:w="2044" w:type="dxa"/>
            <w:gridSpan w:val="2"/>
            <w:tcBorders>
              <w:bottom w:val="single" w:sz="4" w:space="0" w:color="17365D"/>
            </w:tcBorders>
            <w:shd w:val="clear" w:color="auto" w:fill="B9CDE5"/>
            <w:vAlign w:val="center"/>
          </w:tcPr>
          <w:p w14:paraId="21232CD2" w14:textId="53EA228E" w:rsidR="00F2451C" w:rsidRPr="00D613A6" w:rsidRDefault="00F2451C" w:rsidP="00235F0B">
            <w:pPr>
              <w:spacing w:before="60" w:after="60"/>
              <w:ind w:firstLine="0"/>
              <w:jc w:val="center"/>
              <w:rPr>
                <w:b/>
                <w:color w:val="17365D"/>
                <w:sz w:val="16"/>
                <w:szCs w:val="16"/>
              </w:rPr>
            </w:pPr>
            <w:r w:rsidRPr="00D613A6">
              <w:rPr>
                <w:b/>
                <w:color w:val="17365D"/>
                <w:sz w:val="16"/>
                <w:szCs w:val="16"/>
              </w:rPr>
              <w:t>salīdzinot ar</w:t>
            </w:r>
          </w:p>
        </w:tc>
        <w:tc>
          <w:tcPr>
            <w:tcW w:w="1022" w:type="dxa"/>
            <w:vMerge w:val="restart"/>
            <w:shd w:val="clear" w:color="auto" w:fill="B9CDE5"/>
            <w:vAlign w:val="center"/>
          </w:tcPr>
          <w:p w14:paraId="744BF9E9" w14:textId="253EA9DE" w:rsidR="00F2451C" w:rsidRPr="00D613A6" w:rsidRDefault="00F2451C" w:rsidP="00235F0B">
            <w:pPr>
              <w:spacing w:before="60" w:after="60"/>
              <w:ind w:left="-108" w:firstLine="0"/>
              <w:jc w:val="center"/>
              <w:rPr>
                <w:b/>
                <w:color w:val="17365D"/>
                <w:sz w:val="16"/>
                <w:szCs w:val="16"/>
              </w:rPr>
            </w:pPr>
            <w:r w:rsidRPr="00D613A6">
              <w:rPr>
                <w:b/>
                <w:color w:val="17365D"/>
                <w:sz w:val="16"/>
                <w:szCs w:val="16"/>
              </w:rPr>
              <w:t>iepriekšējā pārskata periodā</w:t>
            </w:r>
          </w:p>
        </w:tc>
      </w:tr>
      <w:tr w:rsidR="00D613A6" w:rsidRPr="00D613A6" w14:paraId="57862A3E" w14:textId="77777777" w:rsidTr="00A312B3">
        <w:trPr>
          <w:trHeight w:val="284"/>
          <w:tblHeader/>
        </w:trPr>
        <w:tc>
          <w:tcPr>
            <w:tcW w:w="639" w:type="dxa"/>
            <w:vMerge/>
            <w:tcBorders>
              <w:bottom w:val="nil"/>
            </w:tcBorders>
          </w:tcPr>
          <w:p w14:paraId="06CF917C" w14:textId="45C6CB73" w:rsidR="00F2451C" w:rsidRPr="00D613A6" w:rsidRDefault="00F2451C" w:rsidP="003F41B4">
            <w:pPr>
              <w:pStyle w:val="Pamatteksts1"/>
              <w:spacing w:after="0"/>
              <w:ind w:firstLine="0"/>
              <w:jc w:val="center"/>
              <w:rPr>
                <w:color w:val="17365D"/>
                <w:sz w:val="16"/>
                <w:szCs w:val="16"/>
              </w:rPr>
            </w:pPr>
          </w:p>
        </w:tc>
        <w:tc>
          <w:tcPr>
            <w:tcW w:w="1692" w:type="dxa"/>
            <w:vMerge/>
            <w:tcBorders>
              <w:bottom w:val="nil"/>
            </w:tcBorders>
            <w:vAlign w:val="center"/>
          </w:tcPr>
          <w:p w14:paraId="640CFC90" w14:textId="474FF097"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vAlign w:val="center"/>
          </w:tcPr>
          <w:p w14:paraId="61421B31" w14:textId="42CEFD93"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vAlign w:val="center"/>
          </w:tcPr>
          <w:p w14:paraId="401A22CF" w14:textId="75226022" w:rsidR="00F2451C" w:rsidRPr="00D613A6" w:rsidRDefault="00F2451C" w:rsidP="003F41B4">
            <w:pPr>
              <w:pStyle w:val="Pamatteksts1"/>
              <w:spacing w:after="0"/>
              <w:ind w:firstLine="0"/>
              <w:jc w:val="center"/>
              <w:rPr>
                <w:color w:val="17365D"/>
                <w:sz w:val="16"/>
                <w:szCs w:val="16"/>
              </w:rPr>
            </w:pPr>
          </w:p>
        </w:tc>
        <w:tc>
          <w:tcPr>
            <w:tcW w:w="898" w:type="dxa"/>
            <w:vMerge/>
            <w:tcBorders>
              <w:bottom w:val="nil"/>
            </w:tcBorders>
            <w:vAlign w:val="center"/>
          </w:tcPr>
          <w:p w14:paraId="37F2511D" w14:textId="252AC709"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tcPr>
          <w:p w14:paraId="45B62A47" w14:textId="74596955" w:rsidR="00F2451C" w:rsidRPr="00D613A6" w:rsidRDefault="00F2451C" w:rsidP="003F41B4">
            <w:pPr>
              <w:pStyle w:val="Pamatteksts1"/>
              <w:spacing w:after="0"/>
              <w:ind w:firstLine="0"/>
              <w:jc w:val="center"/>
              <w:rPr>
                <w:color w:val="17365D"/>
                <w:sz w:val="16"/>
                <w:szCs w:val="16"/>
              </w:rPr>
            </w:pPr>
          </w:p>
        </w:tc>
        <w:tc>
          <w:tcPr>
            <w:tcW w:w="1022" w:type="dxa"/>
            <w:tcBorders>
              <w:bottom w:val="nil"/>
            </w:tcBorders>
            <w:shd w:val="clear" w:color="auto" w:fill="B9CDE5"/>
            <w:vAlign w:val="center"/>
          </w:tcPr>
          <w:p w14:paraId="47BB2844" w14:textId="77777777" w:rsidR="00A00DF4" w:rsidRPr="00D613A6" w:rsidRDefault="00F2451C" w:rsidP="006B7C49">
            <w:pPr>
              <w:pStyle w:val="Pamatteksts1"/>
              <w:spacing w:before="60" w:after="60"/>
              <w:ind w:left="-106" w:right="-108" w:firstLine="0"/>
              <w:jc w:val="center"/>
              <w:rPr>
                <w:b/>
                <w:color w:val="17365D"/>
                <w:sz w:val="16"/>
                <w:szCs w:val="16"/>
              </w:rPr>
            </w:pPr>
            <w:r w:rsidRPr="00D613A6">
              <w:rPr>
                <w:b/>
                <w:color w:val="17365D"/>
                <w:sz w:val="16"/>
                <w:szCs w:val="16"/>
              </w:rPr>
              <w:t xml:space="preserve">likumā/plānā gadam apstiprināto </w:t>
            </w:r>
          </w:p>
          <w:p w14:paraId="7880BFC7" w14:textId="7BB772C7" w:rsidR="00F2451C" w:rsidRPr="00D613A6" w:rsidRDefault="00F2451C" w:rsidP="006B7C49">
            <w:pPr>
              <w:pStyle w:val="Pamatteksts1"/>
              <w:spacing w:before="60" w:after="60"/>
              <w:ind w:left="-106" w:right="-108" w:firstLine="0"/>
              <w:jc w:val="center"/>
              <w:rPr>
                <w:b/>
                <w:color w:val="17365D"/>
                <w:sz w:val="16"/>
                <w:szCs w:val="16"/>
              </w:rPr>
            </w:pPr>
            <w:r w:rsidRPr="00D613A6">
              <w:rPr>
                <w:b/>
                <w:color w:val="17365D"/>
                <w:sz w:val="16"/>
                <w:szCs w:val="16"/>
              </w:rPr>
              <w:t>(4</w:t>
            </w:r>
            <w:r w:rsidR="006B7C49" w:rsidRPr="00D613A6">
              <w:rPr>
                <w:b/>
                <w:color w:val="17365D"/>
                <w:sz w:val="16"/>
                <w:szCs w:val="16"/>
              </w:rPr>
              <w:t>.</w:t>
            </w:r>
            <w:r w:rsidRPr="00D613A6">
              <w:rPr>
                <w:b/>
                <w:color w:val="17365D"/>
                <w:sz w:val="16"/>
                <w:szCs w:val="16"/>
              </w:rPr>
              <w:t>– 1</w:t>
            </w:r>
            <w:r w:rsidR="006B7C49" w:rsidRPr="00D613A6">
              <w:rPr>
                <w:b/>
                <w:color w:val="17365D"/>
                <w:sz w:val="16"/>
                <w:szCs w:val="16"/>
              </w:rPr>
              <w:t>.</w:t>
            </w:r>
            <w:r w:rsidRPr="00D613A6">
              <w:rPr>
                <w:b/>
                <w:color w:val="17365D"/>
                <w:sz w:val="16"/>
                <w:szCs w:val="16"/>
              </w:rPr>
              <w:t>)</w:t>
            </w:r>
          </w:p>
        </w:tc>
        <w:tc>
          <w:tcPr>
            <w:tcW w:w="1022" w:type="dxa"/>
            <w:tcBorders>
              <w:bottom w:val="nil"/>
            </w:tcBorders>
            <w:shd w:val="clear" w:color="auto" w:fill="B9CDE5"/>
            <w:vAlign w:val="center"/>
          </w:tcPr>
          <w:p w14:paraId="5367A495" w14:textId="24799BEE" w:rsidR="00F2451C" w:rsidRPr="00D613A6" w:rsidRDefault="00F2451C" w:rsidP="00235F0B">
            <w:pPr>
              <w:spacing w:before="60" w:after="60"/>
              <w:ind w:firstLine="0"/>
              <w:jc w:val="center"/>
              <w:rPr>
                <w:b/>
                <w:color w:val="17365D"/>
                <w:sz w:val="16"/>
                <w:szCs w:val="16"/>
              </w:rPr>
            </w:pPr>
            <w:r w:rsidRPr="00D613A6">
              <w:rPr>
                <w:b/>
                <w:color w:val="17365D"/>
                <w:sz w:val="16"/>
                <w:szCs w:val="16"/>
              </w:rPr>
              <w:t>likumu/ plānu gadam ar izmaiņām</w:t>
            </w:r>
          </w:p>
          <w:p w14:paraId="5C54B1F9" w14:textId="6A87DA90" w:rsidR="00F2451C" w:rsidRPr="00D613A6" w:rsidRDefault="00F2451C" w:rsidP="006B7C49">
            <w:pPr>
              <w:pStyle w:val="Pamatteksts1"/>
              <w:spacing w:before="60" w:after="60"/>
              <w:ind w:firstLine="0"/>
              <w:jc w:val="center"/>
              <w:rPr>
                <w:b/>
                <w:color w:val="17365D"/>
                <w:sz w:val="16"/>
                <w:szCs w:val="16"/>
              </w:rPr>
            </w:pPr>
            <w:r w:rsidRPr="00D613A6">
              <w:rPr>
                <w:b/>
                <w:color w:val="17365D"/>
                <w:sz w:val="16"/>
                <w:szCs w:val="16"/>
              </w:rPr>
              <w:t>(4</w:t>
            </w:r>
            <w:r w:rsidR="006B7C49" w:rsidRPr="00D613A6">
              <w:rPr>
                <w:b/>
                <w:color w:val="17365D"/>
                <w:sz w:val="16"/>
                <w:szCs w:val="16"/>
              </w:rPr>
              <w:t>.</w:t>
            </w:r>
            <w:r w:rsidRPr="00D613A6">
              <w:rPr>
                <w:b/>
                <w:color w:val="17365D"/>
                <w:sz w:val="16"/>
                <w:szCs w:val="16"/>
              </w:rPr>
              <w:t>– 2</w:t>
            </w:r>
            <w:r w:rsidR="006B7C49" w:rsidRPr="00D613A6">
              <w:rPr>
                <w:b/>
                <w:color w:val="17365D"/>
                <w:sz w:val="16"/>
                <w:szCs w:val="16"/>
              </w:rPr>
              <w:t>.</w:t>
            </w:r>
            <w:r w:rsidRPr="00D613A6">
              <w:rPr>
                <w:b/>
                <w:color w:val="17365D"/>
                <w:sz w:val="16"/>
                <w:szCs w:val="16"/>
              </w:rPr>
              <w:t>)</w:t>
            </w:r>
          </w:p>
        </w:tc>
        <w:tc>
          <w:tcPr>
            <w:tcW w:w="1022" w:type="dxa"/>
            <w:vMerge/>
            <w:tcBorders>
              <w:bottom w:val="nil"/>
            </w:tcBorders>
          </w:tcPr>
          <w:p w14:paraId="42BEFCC1" w14:textId="77777777" w:rsidR="00F2451C" w:rsidRPr="00D613A6" w:rsidRDefault="00F2451C" w:rsidP="003F41B4">
            <w:pPr>
              <w:pStyle w:val="Pamatteksts1"/>
              <w:spacing w:after="0"/>
              <w:ind w:firstLine="0"/>
              <w:jc w:val="center"/>
              <w:rPr>
                <w:color w:val="17365D"/>
                <w:sz w:val="16"/>
                <w:szCs w:val="16"/>
              </w:rPr>
            </w:pPr>
          </w:p>
        </w:tc>
      </w:tr>
      <w:tr w:rsidR="00D613A6" w:rsidRPr="00D613A6" w14:paraId="065C48BD" w14:textId="77777777" w:rsidTr="00A312B3">
        <w:trPr>
          <w:trHeight w:val="144"/>
          <w:tblHeader/>
        </w:trPr>
        <w:tc>
          <w:tcPr>
            <w:tcW w:w="639" w:type="dxa"/>
            <w:tcBorders>
              <w:top w:val="nil"/>
              <w:bottom w:val="single" w:sz="4" w:space="0" w:color="17365D"/>
            </w:tcBorders>
            <w:vAlign w:val="center"/>
          </w:tcPr>
          <w:p w14:paraId="39B53799" w14:textId="3780E262"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A</w:t>
            </w:r>
          </w:p>
        </w:tc>
        <w:tc>
          <w:tcPr>
            <w:tcW w:w="1692" w:type="dxa"/>
            <w:tcBorders>
              <w:top w:val="nil"/>
              <w:bottom w:val="single" w:sz="4" w:space="0" w:color="17365D"/>
            </w:tcBorders>
            <w:vAlign w:val="center"/>
          </w:tcPr>
          <w:p w14:paraId="7822B382" w14:textId="175321D9"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B</w:t>
            </w:r>
          </w:p>
        </w:tc>
        <w:tc>
          <w:tcPr>
            <w:tcW w:w="1022" w:type="dxa"/>
            <w:tcBorders>
              <w:top w:val="nil"/>
              <w:bottom w:val="single" w:sz="4" w:space="0" w:color="17365D"/>
            </w:tcBorders>
            <w:vAlign w:val="center"/>
          </w:tcPr>
          <w:p w14:paraId="664D74A4" w14:textId="33F4BDDF"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1</w:t>
            </w:r>
          </w:p>
        </w:tc>
        <w:tc>
          <w:tcPr>
            <w:tcW w:w="1022" w:type="dxa"/>
            <w:tcBorders>
              <w:top w:val="nil"/>
              <w:bottom w:val="single" w:sz="4" w:space="0" w:color="17365D"/>
            </w:tcBorders>
            <w:vAlign w:val="center"/>
          </w:tcPr>
          <w:p w14:paraId="44809F81" w14:textId="5D80CAC0"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2</w:t>
            </w:r>
          </w:p>
        </w:tc>
        <w:tc>
          <w:tcPr>
            <w:tcW w:w="898" w:type="dxa"/>
            <w:tcBorders>
              <w:top w:val="nil"/>
              <w:bottom w:val="single" w:sz="4" w:space="0" w:color="17365D"/>
            </w:tcBorders>
            <w:vAlign w:val="center"/>
          </w:tcPr>
          <w:p w14:paraId="1573EF3C" w14:textId="3E3BCB0E"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3</w:t>
            </w:r>
          </w:p>
        </w:tc>
        <w:tc>
          <w:tcPr>
            <w:tcW w:w="1022" w:type="dxa"/>
            <w:tcBorders>
              <w:top w:val="nil"/>
              <w:bottom w:val="single" w:sz="4" w:space="0" w:color="17365D"/>
            </w:tcBorders>
            <w:vAlign w:val="center"/>
          </w:tcPr>
          <w:p w14:paraId="1BAD7C55" w14:textId="30B78A7B"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4</w:t>
            </w:r>
          </w:p>
        </w:tc>
        <w:tc>
          <w:tcPr>
            <w:tcW w:w="1022" w:type="dxa"/>
            <w:tcBorders>
              <w:top w:val="nil"/>
              <w:bottom w:val="single" w:sz="4" w:space="0" w:color="17365D"/>
            </w:tcBorders>
            <w:vAlign w:val="center"/>
          </w:tcPr>
          <w:p w14:paraId="698790CF" w14:textId="477373D4"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5</w:t>
            </w:r>
          </w:p>
        </w:tc>
        <w:tc>
          <w:tcPr>
            <w:tcW w:w="1022" w:type="dxa"/>
            <w:tcBorders>
              <w:top w:val="nil"/>
              <w:bottom w:val="single" w:sz="4" w:space="0" w:color="17365D"/>
            </w:tcBorders>
            <w:vAlign w:val="center"/>
          </w:tcPr>
          <w:p w14:paraId="10CB3D6D" w14:textId="1D04101B"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6</w:t>
            </w:r>
          </w:p>
        </w:tc>
        <w:tc>
          <w:tcPr>
            <w:tcW w:w="1022" w:type="dxa"/>
            <w:tcBorders>
              <w:top w:val="nil"/>
              <w:bottom w:val="single" w:sz="4" w:space="0" w:color="17365D"/>
            </w:tcBorders>
            <w:vAlign w:val="center"/>
          </w:tcPr>
          <w:p w14:paraId="60004B79" w14:textId="6EAFB4DC"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7</w:t>
            </w:r>
          </w:p>
        </w:tc>
      </w:tr>
      <w:tr w:rsidR="00D613A6" w:rsidRPr="00D613A6" w14:paraId="1601DCB7" w14:textId="77777777" w:rsidTr="00A312B3">
        <w:trPr>
          <w:trHeight w:val="284"/>
        </w:trPr>
        <w:tc>
          <w:tcPr>
            <w:tcW w:w="639" w:type="dxa"/>
            <w:tcBorders>
              <w:top w:val="single" w:sz="4" w:space="0" w:color="17365D"/>
              <w:bottom w:val="single" w:sz="4" w:space="0" w:color="17365D"/>
            </w:tcBorders>
            <w:vAlign w:val="center"/>
          </w:tcPr>
          <w:p w14:paraId="5A775126" w14:textId="765A1CA3" w:rsidR="00A312B3" w:rsidRPr="00D613A6" w:rsidRDefault="00A312B3" w:rsidP="00A312B3">
            <w:pPr>
              <w:spacing w:before="40" w:after="40"/>
              <w:ind w:firstLine="0"/>
              <w:jc w:val="left"/>
              <w:rPr>
                <w:b/>
                <w:bCs/>
                <w:color w:val="17365D"/>
                <w:sz w:val="16"/>
                <w:szCs w:val="16"/>
              </w:rPr>
            </w:pPr>
            <w:r w:rsidRPr="00D613A6">
              <w:rPr>
                <w:b/>
                <w:bCs/>
                <w:color w:val="17365D"/>
                <w:sz w:val="16"/>
                <w:szCs w:val="16"/>
              </w:rPr>
              <w:t>I.</w:t>
            </w:r>
          </w:p>
        </w:tc>
        <w:tc>
          <w:tcPr>
            <w:tcW w:w="1692" w:type="dxa"/>
            <w:tcBorders>
              <w:top w:val="single" w:sz="4" w:space="0" w:color="17365D"/>
              <w:bottom w:val="single" w:sz="4" w:space="0" w:color="17365D"/>
              <w:right w:val="nil"/>
            </w:tcBorders>
            <w:shd w:val="clear" w:color="auto" w:fill="auto"/>
            <w:vAlign w:val="center"/>
          </w:tcPr>
          <w:p w14:paraId="2E70FBCB" w14:textId="77777777" w:rsidR="00A312B3" w:rsidRPr="00D613A6" w:rsidRDefault="00A312B3" w:rsidP="00A312B3">
            <w:pPr>
              <w:pStyle w:val="Pamatteksts1"/>
              <w:spacing w:before="40" w:after="40"/>
              <w:ind w:firstLine="0"/>
              <w:jc w:val="left"/>
              <w:rPr>
                <w:b/>
                <w:color w:val="17365D"/>
                <w:sz w:val="16"/>
                <w:szCs w:val="16"/>
              </w:rPr>
            </w:pPr>
            <w:r w:rsidRPr="00D613A6">
              <w:rPr>
                <w:b/>
                <w:bCs/>
                <w:color w:val="17365D"/>
                <w:sz w:val="16"/>
                <w:szCs w:val="16"/>
              </w:rPr>
              <w:t>IEŅĒMUMI KOPĀ</w:t>
            </w:r>
          </w:p>
        </w:tc>
        <w:tc>
          <w:tcPr>
            <w:tcW w:w="1022" w:type="dxa"/>
            <w:tcBorders>
              <w:top w:val="single" w:sz="4" w:space="0" w:color="17365D"/>
              <w:left w:val="nil"/>
              <w:bottom w:val="single" w:sz="4" w:space="0" w:color="17365D"/>
              <w:right w:val="nil"/>
            </w:tcBorders>
            <w:shd w:val="clear" w:color="auto" w:fill="auto"/>
            <w:vAlign w:val="center"/>
          </w:tcPr>
          <w:p w14:paraId="3F785E2F" w14:textId="49D2E08F"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21 714 167</w:t>
            </w:r>
          </w:p>
        </w:tc>
        <w:tc>
          <w:tcPr>
            <w:tcW w:w="1022" w:type="dxa"/>
            <w:tcBorders>
              <w:top w:val="single" w:sz="4" w:space="0" w:color="17365D"/>
              <w:left w:val="nil"/>
              <w:bottom w:val="single" w:sz="4" w:space="0" w:color="17365D"/>
              <w:right w:val="nil"/>
            </w:tcBorders>
            <w:shd w:val="clear" w:color="auto" w:fill="auto"/>
            <w:vAlign w:val="center"/>
          </w:tcPr>
          <w:p w14:paraId="07C1F6D6" w14:textId="5137D7C8"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21 453 501</w:t>
            </w:r>
          </w:p>
        </w:tc>
        <w:tc>
          <w:tcPr>
            <w:tcW w:w="898" w:type="dxa"/>
            <w:tcBorders>
              <w:top w:val="single" w:sz="4" w:space="0" w:color="17365D"/>
              <w:left w:val="nil"/>
              <w:bottom w:val="single" w:sz="4" w:space="0" w:color="17365D"/>
              <w:right w:val="nil"/>
            </w:tcBorders>
            <w:shd w:val="clear" w:color="auto" w:fill="auto"/>
            <w:vAlign w:val="center"/>
          </w:tcPr>
          <w:p w14:paraId="412B0828" w14:textId="3CA0B07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-260 666</w:t>
            </w:r>
          </w:p>
        </w:tc>
        <w:tc>
          <w:tcPr>
            <w:tcW w:w="1022" w:type="dxa"/>
            <w:tcBorders>
              <w:top w:val="single" w:sz="4" w:space="0" w:color="17365D"/>
              <w:left w:val="nil"/>
              <w:bottom w:val="single" w:sz="4" w:space="0" w:color="17365D"/>
              <w:right w:val="nil"/>
            </w:tcBorders>
            <w:shd w:val="clear" w:color="auto" w:fill="auto"/>
            <w:vAlign w:val="center"/>
          </w:tcPr>
          <w:p w14:paraId="37272757" w14:textId="2698BAB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21 744 784</w:t>
            </w:r>
          </w:p>
        </w:tc>
        <w:tc>
          <w:tcPr>
            <w:tcW w:w="1022" w:type="dxa"/>
            <w:tcBorders>
              <w:top w:val="single" w:sz="4" w:space="0" w:color="17365D"/>
              <w:left w:val="nil"/>
              <w:bottom w:val="single" w:sz="4" w:space="0" w:color="17365D"/>
              <w:right w:val="nil"/>
            </w:tcBorders>
            <w:shd w:val="clear" w:color="auto" w:fill="auto"/>
            <w:vAlign w:val="center"/>
          </w:tcPr>
          <w:p w14:paraId="741D05E6" w14:textId="5F428BA2"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30 617</w:t>
            </w:r>
          </w:p>
        </w:tc>
        <w:tc>
          <w:tcPr>
            <w:tcW w:w="1022" w:type="dxa"/>
            <w:tcBorders>
              <w:top w:val="single" w:sz="4" w:space="0" w:color="17365D"/>
              <w:left w:val="nil"/>
              <w:bottom w:val="single" w:sz="4" w:space="0" w:color="17365D"/>
              <w:right w:val="nil"/>
            </w:tcBorders>
            <w:shd w:val="clear" w:color="auto" w:fill="auto"/>
            <w:vAlign w:val="center"/>
          </w:tcPr>
          <w:p w14:paraId="03C7A421" w14:textId="2021A2D9"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291 283</w:t>
            </w:r>
          </w:p>
        </w:tc>
        <w:tc>
          <w:tcPr>
            <w:tcW w:w="1022" w:type="dxa"/>
            <w:tcBorders>
              <w:top w:val="single" w:sz="4" w:space="0" w:color="17365D"/>
              <w:left w:val="nil"/>
              <w:bottom w:val="single" w:sz="4" w:space="0" w:color="17365D"/>
              <w:right w:val="nil"/>
            </w:tcBorders>
            <w:shd w:val="clear" w:color="auto" w:fill="auto"/>
            <w:vAlign w:val="center"/>
          </w:tcPr>
          <w:p w14:paraId="1AD7D594" w14:textId="1FF49A0F"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20 229 583</w:t>
            </w:r>
          </w:p>
        </w:tc>
      </w:tr>
      <w:tr w:rsidR="00D613A6" w:rsidRPr="00D613A6" w14:paraId="341AC345" w14:textId="77777777" w:rsidTr="00A312B3">
        <w:trPr>
          <w:trHeight w:val="284"/>
        </w:trPr>
        <w:tc>
          <w:tcPr>
            <w:tcW w:w="639" w:type="dxa"/>
            <w:tcBorders>
              <w:top w:val="single" w:sz="4" w:space="0" w:color="17365D"/>
              <w:bottom w:val="single" w:sz="4" w:space="0" w:color="17365D"/>
            </w:tcBorders>
            <w:vAlign w:val="center"/>
          </w:tcPr>
          <w:p w14:paraId="607D0FB3" w14:textId="77777777" w:rsidR="00A312B3" w:rsidRPr="00D613A6" w:rsidRDefault="00A312B3" w:rsidP="00A312B3">
            <w:pPr>
              <w:pStyle w:val="Pamatteksts1"/>
              <w:spacing w:before="40" w:after="40"/>
              <w:ind w:firstLine="0"/>
              <w:jc w:val="left"/>
              <w:rPr>
                <w:rFonts w:eastAsia="Calibri"/>
                <w:noProof w:val="0"/>
                <w:color w:val="17365D"/>
                <w:sz w:val="16"/>
                <w:szCs w:val="16"/>
              </w:rPr>
            </w:pPr>
            <w:r w:rsidRPr="00D613A6">
              <w:rPr>
                <w:rFonts w:eastAsia="Calibri"/>
                <w:noProof w:val="0"/>
                <w:color w:val="17365D"/>
                <w:sz w:val="16"/>
                <w:szCs w:val="16"/>
              </w:rPr>
              <w:t>3.0.</w:t>
            </w:r>
          </w:p>
        </w:tc>
        <w:tc>
          <w:tcPr>
            <w:tcW w:w="1692" w:type="dxa"/>
            <w:tcBorders>
              <w:top w:val="single" w:sz="4" w:space="0" w:color="17365D"/>
              <w:bottom w:val="single" w:sz="4" w:space="0" w:color="17365D"/>
              <w:right w:val="nil"/>
            </w:tcBorders>
            <w:shd w:val="clear" w:color="auto" w:fill="auto"/>
            <w:vAlign w:val="center"/>
          </w:tcPr>
          <w:p w14:paraId="38D04136" w14:textId="77777777" w:rsidR="00A312B3" w:rsidRPr="00D613A6" w:rsidRDefault="00A312B3" w:rsidP="00A312B3">
            <w:pPr>
              <w:pStyle w:val="Pamatteksts1"/>
              <w:spacing w:before="40" w:after="40"/>
              <w:ind w:firstLine="0"/>
              <w:jc w:val="left"/>
              <w:rPr>
                <w:rFonts w:eastAsia="Calibri"/>
                <w:noProof w:val="0"/>
                <w:color w:val="17365D"/>
                <w:sz w:val="16"/>
                <w:szCs w:val="16"/>
              </w:rPr>
            </w:pPr>
            <w:r w:rsidRPr="00D613A6">
              <w:rPr>
                <w:rFonts w:eastAsia="Calibri"/>
                <w:noProof w:val="0"/>
                <w:color w:val="17365D"/>
                <w:sz w:val="16"/>
                <w:szCs w:val="16"/>
              </w:rPr>
              <w:t>Maksas pakalpojumi un citi pašu ieņēmumi</w:t>
            </w:r>
          </w:p>
        </w:tc>
        <w:tc>
          <w:tcPr>
            <w:tcW w:w="1022" w:type="dxa"/>
            <w:tcBorders>
              <w:top w:val="single" w:sz="4" w:space="0" w:color="17365D"/>
              <w:left w:val="nil"/>
              <w:bottom w:val="single" w:sz="4" w:space="0" w:color="17365D"/>
              <w:right w:val="nil"/>
            </w:tcBorders>
            <w:shd w:val="clear" w:color="auto" w:fill="auto"/>
            <w:vAlign w:val="center"/>
          </w:tcPr>
          <w:p w14:paraId="28627FC6" w14:textId="3ED8354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19 529 298</w:t>
            </w:r>
          </w:p>
        </w:tc>
        <w:tc>
          <w:tcPr>
            <w:tcW w:w="1022" w:type="dxa"/>
            <w:tcBorders>
              <w:top w:val="single" w:sz="4" w:space="0" w:color="17365D"/>
              <w:left w:val="nil"/>
              <w:bottom w:val="single" w:sz="4" w:space="0" w:color="17365D"/>
              <w:right w:val="nil"/>
            </w:tcBorders>
            <w:shd w:val="clear" w:color="auto" w:fill="auto"/>
            <w:vAlign w:val="center"/>
          </w:tcPr>
          <w:p w14:paraId="65CC8986" w14:textId="5C470E8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19 554 224</w:t>
            </w:r>
          </w:p>
        </w:tc>
        <w:tc>
          <w:tcPr>
            <w:tcW w:w="898" w:type="dxa"/>
            <w:tcBorders>
              <w:top w:val="single" w:sz="4" w:space="0" w:color="17365D"/>
              <w:left w:val="nil"/>
              <w:bottom w:val="single" w:sz="4" w:space="0" w:color="17365D"/>
              <w:right w:val="nil"/>
            </w:tcBorders>
            <w:shd w:val="clear" w:color="auto" w:fill="auto"/>
            <w:vAlign w:val="center"/>
          </w:tcPr>
          <w:p w14:paraId="25E2A09B" w14:textId="5EE00C6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24 926</w:t>
            </w:r>
          </w:p>
        </w:tc>
        <w:tc>
          <w:tcPr>
            <w:tcW w:w="1022" w:type="dxa"/>
            <w:tcBorders>
              <w:top w:val="single" w:sz="4" w:space="0" w:color="17365D"/>
              <w:left w:val="nil"/>
              <w:bottom w:val="single" w:sz="4" w:space="0" w:color="17365D"/>
              <w:right w:val="nil"/>
            </w:tcBorders>
            <w:shd w:val="clear" w:color="auto" w:fill="auto"/>
            <w:vAlign w:val="center"/>
          </w:tcPr>
          <w:p w14:paraId="72C4B52A" w14:textId="2A4256A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19 591 624</w:t>
            </w:r>
          </w:p>
        </w:tc>
        <w:tc>
          <w:tcPr>
            <w:tcW w:w="1022" w:type="dxa"/>
            <w:tcBorders>
              <w:top w:val="single" w:sz="4" w:space="0" w:color="17365D"/>
              <w:left w:val="nil"/>
              <w:bottom w:val="single" w:sz="4" w:space="0" w:color="17365D"/>
              <w:right w:val="nil"/>
            </w:tcBorders>
            <w:shd w:val="clear" w:color="auto" w:fill="auto"/>
            <w:vAlign w:val="center"/>
          </w:tcPr>
          <w:p w14:paraId="7F670424" w14:textId="43AE1D6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62 326</w:t>
            </w:r>
          </w:p>
        </w:tc>
        <w:tc>
          <w:tcPr>
            <w:tcW w:w="1022" w:type="dxa"/>
            <w:tcBorders>
              <w:top w:val="single" w:sz="4" w:space="0" w:color="17365D"/>
              <w:left w:val="nil"/>
              <w:bottom w:val="single" w:sz="4" w:space="0" w:color="17365D"/>
              <w:right w:val="nil"/>
            </w:tcBorders>
            <w:shd w:val="clear" w:color="auto" w:fill="auto"/>
            <w:vAlign w:val="center"/>
          </w:tcPr>
          <w:p w14:paraId="46386325" w14:textId="0C17276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37 400</w:t>
            </w:r>
          </w:p>
        </w:tc>
        <w:tc>
          <w:tcPr>
            <w:tcW w:w="1022" w:type="dxa"/>
            <w:tcBorders>
              <w:top w:val="single" w:sz="4" w:space="0" w:color="17365D"/>
              <w:left w:val="nil"/>
              <w:bottom w:val="single" w:sz="4" w:space="0" w:color="17365D"/>
              <w:right w:val="nil"/>
            </w:tcBorders>
            <w:shd w:val="clear" w:color="auto" w:fill="auto"/>
            <w:vAlign w:val="center"/>
          </w:tcPr>
          <w:p w14:paraId="7E62CDB6" w14:textId="6998B9E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18 415 965</w:t>
            </w:r>
          </w:p>
        </w:tc>
      </w:tr>
      <w:tr w:rsidR="00D613A6" w:rsidRPr="00D613A6" w14:paraId="2B9DFC4B" w14:textId="77777777" w:rsidTr="00A312B3">
        <w:trPr>
          <w:trHeight w:val="281"/>
        </w:trPr>
        <w:tc>
          <w:tcPr>
            <w:tcW w:w="639" w:type="dxa"/>
            <w:tcBorders>
              <w:top w:val="single" w:sz="4" w:space="0" w:color="17365D"/>
              <w:bottom w:val="single" w:sz="4" w:space="0" w:color="17365D"/>
            </w:tcBorders>
            <w:vAlign w:val="center"/>
          </w:tcPr>
          <w:p w14:paraId="01C1FCF8" w14:textId="7777777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4.0.</w:t>
            </w:r>
          </w:p>
        </w:tc>
        <w:tc>
          <w:tcPr>
            <w:tcW w:w="1692" w:type="dxa"/>
            <w:tcBorders>
              <w:top w:val="single" w:sz="4" w:space="0" w:color="17365D"/>
              <w:bottom w:val="single" w:sz="4" w:space="0" w:color="17365D"/>
              <w:right w:val="nil"/>
            </w:tcBorders>
            <w:shd w:val="clear" w:color="auto" w:fill="auto"/>
            <w:vAlign w:val="center"/>
          </w:tcPr>
          <w:p w14:paraId="0A1273D7" w14:textId="77777777" w:rsidR="00A312B3" w:rsidRPr="00D613A6" w:rsidRDefault="00A312B3" w:rsidP="00A312B3">
            <w:pPr>
              <w:pStyle w:val="Pamatteksts1"/>
              <w:spacing w:before="40" w:after="40"/>
              <w:ind w:firstLine="0"/>
              <w:jc w:val="left"/>
              <w:rPr>
                <w:bCs/>
                <w:color w:val="17365D"/>
                <w:sz w:val="16"/>
                <w:szCs w:val="16"/>
              </w:rPr>
            </w:pPr>
            <w:r w:rsidRPr="00D613A6">
              <w:rPr>
                <w:bCs/>
                <w:color w:val="17365D"/>
                <w:sz w:val="16"/>
                <w:szCs w:val="16"/>
              </w:rPr>
              <w:t>Ārvalstu finanšu palīdzība</w:t>
            </w:r>
            <w:r w:rsidRPr="00D613A6">
              <w:rPr>
                <w:bCs/>
                <w:color w:val="17365D"/>
                <w:sz w:val="16"/>
                <w:szCs w:val="16"/>
              </w:rPr>
              <w:tab/>
            </w:r>
          </w:p>
        </w:tc>
        <w:tc>
          <w:tcPr>
            <w:tcW w:w="1022" w:type="dxa"/>
            <w:tcBorders>
              <w:top w:val="single" w:sz="4" w:space="0" w:color="17365D"/>
              <w:left w:val="nil"/>
              <w:bottom w:val="single" w:sz="4" w:space="0" w:color="17365D"/>
              <w:right w:val="nil"/>
            </w:tcBorders>
            <w:shd w:val="clear" w:color="auto" w:fill="auto"/>
            <w:vAlign w:val="center"/>
          </w:tcPr>
          <w:p w14:paraId="00F2A600" w14:textId="49AA0FA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1 585 384</w:t>
            </w:r>
          </w:p>
        </w:tc>
        <w:tc>
          <w:tcPr>
            <w:tcW w:w="1022" w:type="dxa"/>
            <w:tcBorders>
              <w:top w:val="single" w:sz="4" w:space="0" w:color="17365D"/>
              <w:left w:val="nil"/>
              <w:bottom w:val="single" w:sz="4" w:space="0" w:color="17365D"/>
              <w:right w:val="nil"/>
            </w:tcBorders>
            <w:shd w:val="clear" w:color="auto" w:fill="auto"/>
            <w:vAlign w:val="center"/>
          </w:tcPr>
          <w:p w14:paraId="77D6FC85" w14:textId="4D37324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1 585 384</w:t>
            </w:r>
          </w:p>
        </w:tc>
        <w:tc>
          <w:tcPr>
            <w:tcW w:w="898" w:type="dxa"/>
            <w:tcBorders>
              <w:top w:val="single" w:sz="4" w:space="0" w:color="17365D"/>
              <w:left w:val="nil"/>
              <w:bottom w:val="single" w:sz="4" w:space="0" w:color="17365D"/>
              <w:right w:val="nil"/>
            </w:tcBorders>
            <w:shd w:val="clear" w:color="auto" w:fill="auto"/>
            <w:vAlign w:val="center"/>
          </w:tcPr>
          <w:p w14:paraId="3F891ABF" w14:textId="7343A9C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0DA2638C" w14:textId="6AA3176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1 835 753</w:t>
            </w:r>
          </w:p>
        </w:tc>
        <w:tc>
          <w:tcPr>
            <w:tcW w:w="1022" w:type="dxa"/>
            <w:tcBorders>
              <w:top w:val="single" w:sz="4" w:space="0" w:color="17365D"/>
              <w:left w:val="nil"/>
              <w:bottom w:val="single" w:sz="4" w:space="0" w:color="17365D"/>
              <w:right w:val="nil"/>
            </w:tcBorders>
            <w:shd w:val="clear" w:color="auto" w:fill="auto"/>
            <w:vAlign w:val="center"/>
          </w:tcPr>
          <w:p w14:paraId="29D1B945" w14:textId="25CDD7A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250 369</w:t>
            </w:r>
          </w:p>
        </w:tc>
        <w:tc>
          <w:tcPr>
            <w:tcW w:w="1022" w:type="dxa"/>
            <w:tcBorders>
              <w:top w:val="single" w:sz="4" w:space="0" w:color="17365D"/>
              <w:left w:val="nil"/>
              <w:bottom w:val="single" w:sz="4" w:space="0" w:color="17365D"/>
              <w:right w:val="nil"/>
            </w:tcBorders>
            <w:shd w:val="clear" w:color="auto" w:fill="auto"/>
            <w:vAlign w:val="center"/>
          </w:tcPr>
          <w:p w14:paraId="4C26C792" w14:textId="29EDF43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250 369</w:t>
            </w:r>
          </w:p>
        </w:tc>
        <w:tc>
          <w:tcPr>
            <w:tcW w:w="1022" w:type="dxa"/>
            <w:tcBorders>
              <w:top w:val="single" w:sz="4" w:space="0" w:color="17365D"/>
              <w:left w:val="nil"/>
              <w:bottom w:val="single" w:sz="4" w:space="0" w:color="17365D"/>
              <w:right w:val="nil"/>
            </w:tcBorders>
            <w:shd w:val="clear" w:color="auto" w:fill="auto"/>
            <w:vAlign w:val="center"/>
          </w:tcPr>
          <w:p w14:paraId="1524066E" w14:textId="1B87E36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1 205 211</w:t>
            </w:r>
          </w:p>
        </w:tc>
      </w:tr>
      <w:tr w:rsidR="00D613A6" w:rsidRPr="00D613A6" w14:paraId="657DC294" w14:textId="77777777" w:rsidTr="00A312B3">
        <w:trPr>
          <w:trHeight w:val="284"/>
        </w:trPr>
        <w:tc>
          <w:tcPr>
            <w:tcW w:w="639" w:type="dxa"/>
            <w:tcBorders>
              <w:top w:val="single" w:sz="4" w:space="0" w:color="17365D"/>
              <w:bottom w:val="single" w:sz="4" w:space="0" w:color="17365D"/>
            </w:tcBorders>
            <w:vAlign w:val="center"/>
          </w:tcPr>
          <w:p w14:paraId="0BC52F3B" w14:textId="2BF9010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5.0.</w:t>
            </w:r>
          </w:p>
        </w:tc>
        <w:tc>
          <w:tcPr>
            <w:tcW w:w="1692" w:type="dxa"/>
            <w:tcBorders>
              <w:top w:val="single" w:sz="4" w:space="0" w:color="17365D"/>
              <w:bottom w:val="single" w:sz="4" w:space="0" w:color="17365D"/>
              <w:right w:val="nil"/>
            </w:tcBorders>
            <w:shd w:val="clear" w:color="auto" w:fill="auto"/>
            <w:vAlign w:val="center"/>
          </w:tcPr>
          <w:p w14:paraId="26B1AB06" w14:textId="0AA87495" w:rsidR="00A312B3" w:rsidRPr="00D613A6" w:rsidRDefault="00A312B3" w:rsidP="00A312B3">
            <w:pPr>
              <w:pStyle w:val="Pamatteksts1"/>
              <w:spacing w:before="40" w:after="40"/>
              <w:ind w:firstLine="0"/>
              <w:jc w:val="left"/>
              <w:rPr>
                <w:bCs/>
                <w:color w:val="17365D"/>
                <w:sz w:val="16"/>
                <w:szCs w:val="16"/>
              </w:rPr>
            </w:pPr>
            <w:r w:rsidRPr="00D613A6">
              <w:rPr>
                <w:bCs/>
                <w:color w:val="17365D"/>
                <w:sz w:val="16"/>
                <w:szCs w:val="16"/>
              </w:rPr>
              <w:t>Transferti</w:t>
            </w:r>
          </w:p>
        </w:tc>
        <w:tc>
          <w:tcPr>
            <w:tcW w:w="1022" w:type="dxa"/>
            <w:tcBorders>
              <w:top w:val="single" w:sz="4" w:space="0" w:color="17365D"/>
              <w:left w:val="nil"/>
              <w:bottom w:val="single" w:sz="4" w:space="0" w:color="17365D"/>
              <w:right w:val="nil"/>
            </w:tcBorders>
            <w:shd w:val="clear" w:color="auto" w:fill="auto"/>
            <w:vAlign w:val="center"/>
          </w:tcPr>
          <w:p w14:paraId="08FACEB0" w14:textId="601480A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599 485</w:t>
            </w:r>
          </w:p>
        </w:tc>
        <w:tc>
          <w:tcPr>
            <w:tcW w:w="1022" w:type="dxa"/>
            <w:tcBorders>
              <w:top w:val="single" w:sz="4" w:space="0" w:color="17365D"/>
              <w:left w:val="nil"/>
              <w:bottom w:val="single" w:sz="4" w:space="0" w:color="17365D"/>
              <w:right w:val="nil"/>
            </w:tcBorders>
            <w:shd w:val="clear" w:color="auto" w:fill="auto"/>
            <w:vAlign w:val="center"/>
          </w:tcPr>
          <w:p w14:paraId="18D7F0AF" w14:textId="0DFC4C7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313 893</w:t>
            </w:r>
          </w:p>
        </w:tc>
        <w:tc>
          <w:tcPr>
            <w:tcW w:w="898" w:type="dxa"/>
            <w:tcBorders>
              <w:top w:val="single" w:sz="4" w:space="0" w:color="17365D"/>
              <w:left w:val="nil"/>
              <w:bottom w:val="single" w:sz="4" w:space="0" w:color="17365D"/>
              <w:right w:val="nil"/>
            </w:tcBorders>
            <w:shd w:val="clear" w:color="auto" w:fill="auto"/>
            <w:vAlign w:val="center"/>
          </w:tcPr>
          <w:p w14:paraId="2F392CA3" w14:textId="7318891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-285 592</w:t>
            </w:r>
          </w:p>
        </w:tc>
        <w:tc>
          <w:tcPr>
            <w:tcW w:w="1022" w:type="dxa"/>
            <w:tcBorders>
              <w:top w:val="single" w:sz="4" w:space="0" w:color="17365D"/>
              <w:left w:val="nil"/>
              <w:bottom w:val="single" w:sz="4" w:space="0" w:color="17365D"/>
              <w:right w:val="nil"/>
            </w:tcBorders>
            <w:shd w:val="clear" w:color="auto" w:fill="auto"/>
            <w:vAlign w:val="center"/>
          </w:tcPr>
          <w:p w14:paraId="3F72327F" w14:textId="2198F78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317 407</w:t>
            </w:r>
          </w:p>
        </w:tc>
        <w:tc>
          <w:tcPr>
            <w:tcW w:w="1022" w:type="dxa"/>
            <w:tcBorders>
              <w:top w:val="single" w:sz="4" w:space="0" w:color="17365D"/>
              <w:left w:val="nil"/>
              <w:bottom w:val="single" w:sz="4" w:space="0" w:color="17365D"/>
              <w:right w:val="nil"/>
            </w:tcBorders>
            <w:shd w:val="clear" w:color="auto" w:fill="auto"/>
            <w:vAlign w:val="center"/>
          </w:tcPr>
          <w:p w14:paraId="1B07FE57" w14:textId="0BEA191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-282 078</w:t>
            </w:r>
          </w:p>
        </w:tc>
        <w:tc>
          <w:tcPr>
            <w:tcW w:w="1022" w:type="dxa"/>
            <w:tcBorders>
              <w:top w:val="single" w:sz="4" w:space="0" w:color="17365D"/>
              <w:left w:val="nil"/>
              <w:bottom w:val="single" w:sz="4" w:space="0" w:color="17365D"/>
              <w:right w:val="nil"/>
            </w:tcBorders>
            <w:shd w:val="clear" w:color="auto" w:fill="auto"/>
            <w:vAlign w:val="center"/>
          </w:tcPr>
          <w:p w14:paraId="1CB51F08" w14:textId="2555F96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3 514</w:t>
            </w:r>
          </w:p>
        </w:tc>
        <w:tc>
          <w:tcPr>
            <w:tcW w:w="1022" w:type="dxa"/>
            <w:tcBorders>
              <w:top w:val="single" w:sz="4" w:space="0" w:color="17365D"/>
              <w:left w:val="nil"/>
              <w:bottom w:val="single" w:sz="4" w:space="0" w:color="17365D"/>
              <w:right w:val="nil"/>
            </w:tcBorders>
            <w:shd w:val="clear" w:color="auto" w:fill="auto"/>
            <w:vAlign w:val="center"/>
          </w:tcPr>
          <w:p w14:paraId="6B743E0F" w14:textId="4760A52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608 407</w:t>
            </w:r>
          </w:p>
        </w:tc>
      </w:tr>
      <w:tr w:rsidR="00D613A6" w:rsidRPr="00D613A6" w14:paraId="449CCAC5" w14:textId="77777777" w:rsidTr="00A312B3">
        <w:trPr>
          <w:trHeight w:val="284"/>
        </w:trPr>
        <w:tc>
          <w:tcPr>
            <w:tcW w:w="639" w:type="dxa"/>
            <w:tcBorders>
              <w:top w:val="single" w:sz="4" w:space="0" w:color="17365D"/>
              <w:bottom w:val="single" w:sz="4" w:space="0" w:color="17365D"/>
            </w:tcBorders>
            <w:vAlign w:val="center"/>
          </w:tcPr>
          <w:p w14:paraId="112F13BA" w14:textId="2B9C02AE" w:rsidR="0042624D" w:rsidRPr="00D613A6" w:rsidRDefault="0042624D" w:rsidP="0042624D">
            <w:pPr>
              <w:pStyle w:val="Pamatteksts1"/>
              <w:spacing w:before="40" w:after="40"/>
              <w:ind w:right="-180" w:firstLine="0"/>
              <w:jc w:val="left"/>
              <w:rPr>
                <w:color w:val="17365D"/>
                <w:sz w:val="16"/>
                <w:szCs w:val="16"/>
              </w:rPr>
            </w:pPr>
            <w:r w:rsidRPr="00D613A6">
              <w:rPr>
                <w:color w:val="17365D"/>
                <w:sz w:val="16"/>
                <w:szCs w:val="16"/>
              </w:rPr>
              <w:t>18.0.0.0..</w:t>
            </w:r>
          </w:p>
        </w:tc>
        <w:tc>
          <w:tcPr>
            <w:tcW w:w="1692" w:type="dxa"/>
            <w:tcBorders>
              <w:top w:val="single" w:sz="4" w:space="0" w:color="17365D"/>
              <w:bottom w:val="single" w:sz="4" w:space="0" w:color="17365D"/>
              <w:right w:val="nil"/>
            </w:tcBorders>
            <w:shd w:val="clear" w:color="auto" w:fill="auto"/>
            <w:vAlign w:val="center"/>
          </w:tcPr>
          <w:p w14:paraId="56147DCB" w14:textId="69889AC3" w:rsidR="0042624D" w:rsidRPr="00D613A6" w:rsidRDefault="0042624D" w:rsidP="0042624D">
            <w:pPr>
              <w:pStyle w:val="Pamatteksts1"/>
              <w:spacing w:before="40" w:after="40"/>
              <w:ind w:firstLine="0"/>
              <w:jc w:val="left"/>
              <w:rPr>
                <w:bCs/>
                <w:color w:val="17365D"/>
                <w:sz w:val="16"/>
                <w:szCs w:val="16"/>
              </w:rPr>
            </w:pPr>
            <w:r w:rsidRPr="00D613A6">
              <w:rPr>
                <w:bCs/>
                <w:color w:val="17365D"/>
                <w:sz w:val="16"/>
                <w:szCs w:val="16"/>
              </w:rPr>
              <w:t>Valsts budžeta transferti</w:t>
            </w:r>
          </w:p>
        </w:tc>
        <w:tc>
          <w:tcPr>
            <w:tcW w:w="1022" w:type="dxa"/>
            <w:tcBorders>
              <w:top w:val="single" w:sz="4" w:space="0" w:color="17365D"/>
              <w:left w:val="nil"/>
              <w:bottom w:val="single" w:sz="4" w:space="0" w:color="17365D"/>
              <w:right w:val="nil"/>
            </w:tcBorders>
            <w:shd w:val="clear" w:color="auto" w:fill="auto"/>
            <w:vAlign w:val="center"/>
          </w:tcPr>
          <w:p w14:paraId="6B2AA990" w14:textId="746DD1C5"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599 485</w:t>
            </w:r>
          </w:p>
        </w:tc>
        <w:tc>
          <w:tcPr>
            <w:tcW w:w="1022" w:type="dxa"/>
            <w:tcBorders>
              <w:top w:val="single" w:sz="4" w:space="0" w:color="17365D"/>
              <w:left w:val="nil"/>
              <w:bottom w:val="single" w:sz="4" w:space="0" w:color="17365D"/>
              <w:right w:val="nil"/>
            </w:tcBorders>
            <w:shd w:val="clear" w:color="auto" w:fill="auto"/>
            <w:vAlign w:val="center"/>
          </w:tcPr>
          <w:p w14:paraId="5EB7EAD4" w14:textId="34156090"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313 893</w:t>
            </w:r>
          </w:p>
        </w:tc>
        <w:tc>
          <w:tcPr>
            <w:tcW w:w="898" w:type="dxa"/>
            <w:tcBorders>
              <w:top w:val="single" w:sz="4" w:space="0" w:color="17365D"/>
              <w:left w:val="nil"/>
              <w:bottom w:val="single" w:sz="4" w:space="0" w:color="17365D"/>
              <w:right w:val="nil"/>
            </w:tcBorders>
            <w:shd w:val="clear" w:color="auto" w:fill="auto"/>
            <w:vAlign w:val="center"/>
          </w:tcPr>
          <w:p w14:paraId="50B8A80C" w14:textId="332640AA"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-285 592</w:t>
            </w:r>
          </w:p>
        </w:tc>
        <w:tc>
          <w:tcPr>
            <w:tcW w:w="1022" w:type="dxa"/>
            <w:tcBorders>
              <w:top w:val="single" w:sz="4" w:space="0" w:color="17365D"/>
              <w:left w:val="nil"/>
              <w:bottom w:val="single" w:sz="4" w:space="0" w:color="17365D"/>
              <w:right w:val="nil"/>
            </w:tcBorders>
            <w:shd w:val="clear" w:color="auto" w:fill="auto"/>
            <w:vAlign w:val="center"/>
          </w:tcPr>
          <w:p w14:paraId="5713B6D0" w14:textId="4F31402D"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316 282</w:t>
            </w:r>
          </w:p>
        </w:tc>
        <w:tc>
          <w:tcPr>
            <w:tcW w:w="1022" w:type="dxa"/>
            <w:tcBorders>
              <w:top w:val="single" w:sz="4" w:space="0" w:color="17365D"/>
              <w:left w:val="nil"/>
              <w:bottom w:val="single" w:sz="4" w:space="0" w:color="17365D"/>
              <w:right w:val="nil"/>
            </w:tcBorders>
            <w:shd w:val="clear" w:color="auto" w:fill="auto"/>
            <w:vAlign w:val="center"/>
          </w:tcPr>
          <w:p w14:paraId="2A593D54" w14:textId="2F77D5DE"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-282 078</w:t>
            </w:r>
          </w:p>
        </w:tc>
        <w:tc>
          <w:tcPr>
            <w:tcW w:w="1022" w:type="dxa"/>
            <w:tcBorders>
              <w:top w:val="single" w:sz="4" w:space="0" w:color="17365D"/>
              <w:left w:val="nil"/>
              <w:bottom w:val="single" w:sz="4" w:space="0" w:color="17365D"/>
              <w:right w:val="nil"/>
            </w:tcBorders>
            <w:shd w:val="clear" w:color="auto" w:fill="auto"/>
            <w:vAlign w:val="center"/>
          </w:tcPr>
          <w:p w14:paraId="3C928B58" w14:textId="23545F1F"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3 514</w:t>
            </w:r>
          </w:p>
        </w:tc>
        <w:tc>
          <w:tcPr>
            <w:tcW w:w="1022" w:type="dxa"/>
            <w:tcBorders>
              <w:top w:val="single" w:sz="4" w:space="0" w:color="17365D"/>
              <w:left w:val="nil"/>
              <w:bottom w:val="single" w:sz="4" w:space="0" w:color="17365D"/>
              <w:right w:val="nil"/>
            </w:tcBorders>
            <w:shd w:val="clear" w:color="auto" w:fill="auto"/>
            <w:vAlign w:val="center"/>
          </w:tcPr>
          <w:p w14:paraId="5CF881EA" w14:textId="76D1E7F3"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608 407</w:t>
            </w:r>
          </w:p>
        </w:tc>
      </w:tr>
      <w:tr w:rsidR="00D613A6" w:rsidRPr="00D613A6" w14:paraId="44D5CC1F" w14:textId="77777777" w:rsidTr="00A312B3">
        <w:trPr>
          <w:trHeight w:val="284"/>
        </w:trPr>
        <w:tc>
          <w:tcPr>
            <w:tcW w:w="639" w:type="dxa"/>
            <w:tcBorders>
              <w:top w:val="single" w:sz="4" w:space="0" w:color="17365D"/>
              <w:bottom w:val="single" w:sz="4" w:space="0" w:color="17365D"/>
            </w:tcBorders>
            <w:shd w:val="clear" w:color="auto" w:fill="auto"/>
            <w:vAlign w:val="center"/>
          </w:tcPr>
          <w:p w14:paraId="31F03D88" w14:textId="1907A2E4" w:rsidR="00A312B3" w:rsidRPr="00D613A6" w:rsidRDefault="00A312B3" w:rsidP="00A312B3">
            <w:pPr>
              <w:pStyle w:val="Pamatteksts1"/>
              <w:spacing w:before="40" w:after="40"/>
              <w:ind w:firstLine="0"/>
              <w:jc w:val="left"/>
              <w:rPr>
                <w:b/>
                <w:color w:val="17365D"/>
                <w:sz w:val="16"/>
                <w:szCs w:val="16"/>
              </w:rPr>
            </w:pPr>
            <w:r w:rsidRPr="00D613A6">
              <w:rPr>
                <w:b/>
                <w:color w:val="17365D"/>
                <w:sz w:val="16"/>
                <w:szCs w:val="16"/>
              </w:rPr>
              <w:t>II.</w:t>
            </w:r>
          </w:p>
        </w:tc>
        <w:tc>
          <w:tcPr>
            <w:tcW w:w="1692" w:type="dxa"/>
            <w:tcBorders>
              <w:top w:val="single" w:sz="4" w:space="0" w:color="17365D"/>
              <w:bottom w:val="single" w:sz="4" w:space="0" w:color="17365D"/>
            </w:tcBorders>
            <w:shd w:val="clear" w:color="auto" w:fill="auto"/>
            <w:vAlign w:val="center"/>
          </w:tcPr>
          <w:p w14:paraId="6875654B" w14:textId="374F4406" w:rsidR="00A312B3" w:rsidRPr="00D613A6" w:rsidRDefault="00A312B3" w:rsidP="00A312B3">
            <w:pPr>
              <w:pStyle w:val="Pamatteksts1"/>
              <w:spacing w:before="40" w:after="40"/>
              <w:ind w:firstLine="0"/>
              <w:jc w:val="left"/>
              <w:rPr>
                <w:b/>
                <w:bCs/>
                <w:color w:val="17365D"/>
                <w:sz w:val="16"/>
                <w:szCs w:val="16"/>
              </w:rPr>
            </w:pPr>
            <w:r w:rsidRPr="00D613A6">
              <w:rPr>
                <w:b/>
                <w:bCs/>
                <w:color w:val="17365D"/>
                <w:sz w:val="16"/>
                <w:szCs w:val="16"/>
              </w:rPr>
              <w:t>IZDEVUMI KOPĀ</w:t>
            </w:r>
          </w:p>
        </w:tc>
        <w:tc>
          <w:tcPr>
            <w:tcW w:w="1022" w:type="dxa"/>
            <w:tcBorders>
              <w:top w:val="single" w:sz="4" w:space="0" w:color="17365D"/>
              <w:left w:val="nil"/>
              <w:bottom w:val="single" w:sz="4" w:space="0" w:color="17365D"/>
              <w:right w:val="nil"/>
            </w:tcBorders>
            <w:shd w:val="clear" w:color="auto" w:fill="auto"/>
            <w:vAlign w:val="center"/>
          </w:tcPr>
          <w:p w14:paraId="7ABBD4BF" w14:textId="76495A50"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23 550 182</w:t>
            </w:r>
          </w:p>
        </w:tc>
        <w:tc>
          <w:tcPr>
            <w:tcW w:w="1022" w:type="dxa"/>
            <w:tcBorders>
              <w:top w:val="single" w:sz="4" w:space="0" w:color="17365D"/>
              <w:left w:val="nil"/>
              <w:bottom w:val="single" w:sz="4" w:space="0" w:color="17365D"/>
              <w:right w:val="nil"/>
            </w:tcBorders>
            <w:shd w:val="clear" w:color="auto" w:fill="auto"/>
            <w:vAlign w:val="center"/>
          </w:tcPr>
          <w:p w14:paraId="12DD8FD0" w14:textId="548383B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24 337 388</w:t>
            </w:r>
          </w:p>
        </w:tc>
        <w:tc>
          <w:tcPr>
            <w:tcW w:w="898" w:type="dxa"/>
            <w:tcBorders>
              <w:top w:val="single" w:sz="4" w:space="0" w:color="17365D"/>
              <w:left w:val="nil"/>
              <w:bottom w:val="single" w:sz="4" w:space="0" w:color="17365D"/>
              <w:right w:val="nil"/>
            </w:tcBorders>
            <w:shd w:val="clear" w:color="auto" w:fill="auto"/>
            <w:vAlign w:val="center"/>
          </w:tcPr>
          <w:p w14:paraId="58E2CBBE" w14:textId="3997E14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787 206</w:t>
            </w:r>
          </w:p>
        </w:tc>
        <w:tc>
          <w:tcPr>
            <w:tcW w:w="1022" w:type="dxa"/>
            <w:tcBorders>
              <w:top w:val="single" w:sz="4" w:space="0" w:color="17365D"/>
              <w:left w:val="nil"/>
              <w:bottom w:val="single" w:sz="4" w:space="0" w:color="17365D"/>
              <w:right w:val="nil"/>
            </w:tcBorders>
            <w:shd w:val="clear" w:color="auto" w:fill="auto"/>
            <w:vAlign w:val="center"/>
          </w:tcPr>
          <w:p w14:paraId="0FAF262C" w14:textId="3CF3748C"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22 103 781</w:t>
            </w:r>
          </w:p>
        </w:tc>
        <w:tc>
          <w:tcPr>
            <w:tcW w:w="1022" w:type="dxa"/>
            <w:tcBorders>
              <w:top w:val="single" w:sz="4" w:space="0" w:color="17365D"/>
              <w:left w:val="nil"/>
              <w:bottom w:val="single" w:sz="4" w:space="0" w:color="17365D"/>
              <w:right w:val="nil"/>
            </w:tcBorders>
            <w:shd w:val="clear" w:color="auto" w:fill="auto"/>
            <w:vAlign w:val="center"/>
          </w:tcPr>
          <w:p w14:paraId="4D5819E9" w14:textId="1DD0D26E"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-1 446 401</w:t>
            </w:r>
          </w:p>
        </w:tc>
        <w:tc>
          <w:tcPr>
            <w:tcW w:w="1022" w:type="dxa"/>
            <w:tcBorders>
              <w:top w:val="single" w:sz="4" w:space="0" w:color="17365D"/>
              <w:left w:val="nil"/>
              <w:bottom w:val="single" w:sz="4" w:space="0" w:color="17365D"/>
              <w:right w:val="nil"/>
            </w:tcBorders>
            <w:shd w:val="clear" w:color="auto" w:fill="auto"/>
            <w:vAlign w:val="center"/>
          </w:tcPr>
          <w:p w14:paraId="47E6D4C3" w14:textId="0BE44D09"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-2 233 607</w:t>
            </w:r>
          </w:p>
        </w:tc>
        <w:tc>
          <w:tcPr>
            <w:tcW w:w="1022" w:type="dxa"/>
            <w:tcBorders>
              <w:top w:val="single" w:sz="4" w:space="0" w:color="17365D"/>
              <w:left w:val="nil"/>
              <w:bottom w:val="single" w:sz="4" w:space="0" w:color="17365D"/>
              <w:right w:val="nil"/>
            </w:tcBorders>
            <w:shd w:val="clear" w:color="auto" w:fill="auto"/>
            <w:vAlign w:val="center"/>
          </w:tcPr>
          <w:p w14:paraId="7D7D23DD" w14:textId="5B75BE70"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20 798 104</w:t>
            </w:r>
          </w:p>
        </w:tc>
      </w:tr>
      <w:tr w:rsidR="00D613A6" w:rsidRPr="00D613A6" w14:paraId="3F55E530" w14:textId="77777777" w:rsidTr="00A312B3">
        <w:trPr>
          <w:trHeight w:val="284"/>
        </w:trPr>
        <w:tc>
          <w:tcPr>
            <w:tcW w:w="639" w:type="dxa"/>
            <w:tcBorders>
              <w:top w:val="single" w:sz="4" w:space="0" w:color="17365D"/>
              <w:bottom w:val="single" w:sz="4" w:space="0" w:color="17365D"/>
            </w:tcBorders>
            <w:shd w:val="clear" w:color="auto" w:fill="auto"/>
            <w:vAlign w:val="center"/>
          </w:tcPr>
          <w:p w14:paraId="2CFB428F" w14:textId="5500B72E"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1.0.</w:t>
            </w:r>
          </w:p>
        </w:tc>
        <w:tc>
          <w:tcPr>
            <w:tcW w:w="1692" w:type="dxa"/>
            <w:tcBorders>
              <w:top w:val="single" w:sz="4" w:space="0" w:color="17365D"/>
              <w:bottom w:val="single" w:sz="4" w:space="0" w:color="17365D"/>
            </w:tcBorders>
            <w:shd w:val="clear" w:color="auto" w:fill="auto"/>
            <w:vAlign w:val="center"/>
          </w:tcPr>
          <w:p w14:paraId="3E35447C" w14:textId="37BF5E28"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Uzturēšanas izdevumi</w:t>
            </w:r>
          </w:p>
        </w:tc>
        <w:tc>
          <w:tcPr>
            <w:tcW w:w="1022" w:type="dxa"/>
            <w:tcBorders>
              <w:top w:val="single" w:sz="4" w:space="0" w:color="17365D"/>
              <w:left w:val="nil"/>
              <w:bottom w:val="single" w:sz="4" w:space="0" w:color="17365D"/>
              <w:right w:val="nil"/>
            </w:tcBorders>
            <w:shd w:val="clear" w:color="auto" w:fill="auto"/>
            <w:vAlign w:val="center"/>
          </w:tcPr>
          <w:p w14:paraId="1C912F67" w14:textId="071DBBF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22 842 265</w:t>
            </w:r>
          </w:p>
        </w:tc>
        <w:tc>
          <w:tcPr>
            <w:tcW w:w="1022" w:type="dxa"/>
            <w:tcBorders>
              <w:top w:val="single" w:sz="4" w:space="0" w:color="17365D"/>
              <w:left w:val="nil"/>
              <w:bottom w:val="single" w:sz="4" w:space="0" w:color="17365D"/>
              <w:right w:val="nil"/>
            </w:tcBorders>
            <w:shd w:val="clear" w:color="auto" w:fill="auto"/>
            <w:vAlign w:val="center"/>
          </w:tcPr>
          <w:p w14:paraId="08D43A8B" w14:textId="09AA37E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23 466 416</w:t>
            </w:r>
          </w:p>
        </w:tc>
        <w:tc>
          <w:tcPr>
            <w:tcW w:w="898" w:type="dxa"/>
            <w:tcBorders>
              <w:top w:val="single" w:sz="4" w:space="0" w:color="17365D"/>
              <w:left w:val="nil"/>
              <w:bottom w:val="single" w:sz="4" w:space="0" w:color="17365D"/>
              <w:right w:val="nil"/>
            </w:tcBorders>
            <w:shd w:val="clear" w:color="auto" w:fill="auto"/>
            <w:vAlign w:val="center"/>
          </w:tcPr>
          <w:p w14:paraId="50D69BD8" w14:textId="36CCBF9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624 151</w:t>
            </w:r>
          </w:p>
        </w:tc>
        <w:tc>
          <w:tcPr>
            <w:tcW w:w="1022" w:type="dxa"/>
            <w:tcBorders>
              <w:top w:val="single" w:sz="4" w:space="0" w:color="17365D"/>
              <w:left w:val="nil"/>
              <w:bottom w:val="single" w:sz="4" w:space="0" w:color="17365D"/>
              <w:right w:val="nil"/>
            </w:tcBorders>
            <w:shd w:val="clear" w:color="auto" w:fill="auto"/>
            <w:vAlign w:val="center"/>
          </w:tcPr>
          <w:p w14:paraId="542593E5" w14:textId="128C0A7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21 275 334</w:t>
            </w:r>
          </w:p>
        </w:tc>
        <w:tc>
          <w:tcPr>
            <w:tcW w:w="1022" w:type="dxa"/>
            <w:tcBorders>
              <w:top w:val="single" w:sz="4" w:space="0" w:color="17365D"/>
              <w:left w:val="nil"/>
              <w:bottom w:val="single" w:sz="4" w:space="0" w:color="17365D"/>
              <w:right w:val="nil"/>
            </w:tcBorders>
            <w:shd w:val="clear" w:color="auto" w:fill="auto"/>
            <w:vAlign w:val="center"/>
          </w:tcPr>
          <w:p w14:paraId="40A79DA5" w14:textId="5DE6599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-1 566 931</w:t>
            </w:r>
          </w:p>
        </w:tc>
        <w:tc>
          <w:tcPr>
            <w:tcW w:w="1022" w:type="dxa"/>
            <w:tcBorders>
              <w:top w:val="single" w:sz="4" w:space="0" w:color="17365D"/>
              <w:left w:val="nil"/>
              <w:bottom w:val="single" w:sz="4" w:space="0" w:color="17365D"/>
              <w:right w:val="nil"/>
            </w:tcBorders>
            <w:shd w:val="clear" w:color="auto" w:fill="auto"/>
            <w:vAlign w:val="center"/>
          </w:tcPr>
          <w:p w14:paraId="79579A88" w14:textId="709CF8F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-2 191 082</w:t>
            </w:r>
          </w:p>
        </w:tc>
        <w:tc>
          <w:tcPr>
            <w:tcW w:w="1022" w:type="dxa"/>
            <w:tcBorders>
              <w:top w:val="single" w:sz="4" w:space="0" w:color="17365D"/>
              <w:left w:val="nil"/>
              <w:bottom w:val="single" w:sz="4" w:space="0" w:color="17365D"/>
              <w:right w:val="nil"/>
            </w:tcBorders>
            <w:shd w:val="clear" w:color="auto" w:fill="auto"/>
            <w:vAlign w:val="center"/>
          </w:tcPr>
          <w:p w14:paraId="30D03A36" w14:textId="2345F28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19 311 232</w:t>
            </w:r>
          </w:p>
        </w:tc>
      </w:tr>
      <w:tr w:rsidR="00D613A6" w:rsidRPr="00D613A6" w14:paraId="3BB15DCC" w14:textId="77777777" w:rsidTr="00A312B3">
        <w:trPr>
          <w:trHeight w:val="284"/>
        </w:trPr>
        <w:tc>
          <w:tcPr>
            <w:tcW w:w="639" w:type="dxa"/>
            <w:tcBorders>
              <w:top w:val="single" w:sz="4" w:space="0" w:color="17365D"/>
              <w:bottom w:val="single" w:sz="4" w:space="0" w:color="17365D"/>
            </w:tcBorders>
            <w:shd w:val="clear" w:color="auto" w:fill="auto"/>
            <w:vAlign w:val="center"/>
          </w:tcPr>
          <w:p w14:paraId="3E446C85" w14:textId="17803BF3"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1.1.</w:t>
            </w:r>
          </w:p>
        </w:tc>
        <w:tc>
          <w:tcPr>
            <w:tcW w:w="1692" w:type="dxa"/>
            <w:tcBorders>
              <w:top w:val="single" w:sz="4" w:space="0" w:color="17365D"/>
              <w:bottom w:val="single" w:sz="4" w:space="0" w:color="17365D"/>
            </w:tcBorders>
            <w:shd w:val="clear" w:color="auto" w:fill="auto"/>
            <w:vAlign w:val="center"/>
          </w:tcPr>
          <w:p w14:paraId="6203FCA9" w14:textId="438C0770"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Kārtējie izdevumi</w:t>
            </w:r>
          </w:p>
        </w:tc>
        <w:tc>
          <w:tcPr>
            <w:tcW w:w="1022" w:type="dxa"/>
            <w:tcBorders>
              <w:top w:val="single" w:sz="4" w:space="0" w:color="17365D"/>
              <w:left w:val="nil"/>
              <w:bottom w:val="single" w:sz="4" w:space="0" w:color="17365D"/>
              <w:right w:val="nil"/>
            </w:tcBorders>
            <w:shd w:val="clear" w:color="auto" w:fill="auto"/>
            <w:vAlign w:val="center"/>
          </w:tcPr>
          <w:p w14:paraId="4E00D123" w14:textId="6F8A51E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21 152 515</w:t>
            </w:r>
          </w:p>
        </w:tc>
        <w:tc>
          <w:tcPr>
            <w:tcW w:w="1022" w:type="dxa"/>
            <w:tcBorders>
              <w:top w:val="single" w:sz="4" w:space="0" w:color="17365D"/>
              <w:left w:val="nil"/>
              <w:bottom w:val="single" w:sz="4" w:space="0" w:color="17365D"/>
              <w:right w:val="nil"/>
            </w:tcBorders>
            <w:shd w:val="clear" w:color="auto" w:fill="auto"/>
            <w:vAlign w:val="center"/>
          </w:tcPr>
          <w:p w14:paraId="1063FB38" w14:textId="18FF7F0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21 711 197</w:t>
            </w:r>
          </w:p>
        </w:tc>
        <w:tc>
          <w:tcPr>
            <w:tcW w:w="898" w:type="dxa"/>
            <w:tcBorders>
              <w:top w:val="single" w:sz="4" w:space="0" w:color="17365D"/>
              <w:left w:val="nil"/>
              <w:bottom w:val="single" w:sz="4" w:space="0" w:color="17365D"/>
              <w:right w:val="nil"/>
            </w:tcBorders>
            <w:shd w:val="clear" w:color="auto" w:fill="auto"/>
            <w:vAlign w:val="center"/>
          </w:tcPr>
          <w:p w14:paraId="66A93C1A" w14:textId="586041C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558 682</w:t>
            </w:r>
          </w:p>
        </w:tc>
        <w:tc>
          <w:tcPr>
            <w:tcW w:w="1022" w:type="dxa"/>
            <w:tcBorders>
              <w:top w:val="single" w:sz="4" w:space="0" w:color="17365D"/>
              <w:left w:val="nil"/>
              <w:bottom w:val="single" w:sz="4" w:space="0" w:color="17365D"/>
              <w:right w:val="nil"/>
            </w:tcBorders>
            <w:shd w:val="clear" w:color="auto" w:fill="auto"/>
            <w:vAlign w:val="center"/>
          </w:tcPr>
          <w:p w14:paraId="0573AA75" w14:textId="69C900F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19 546 876</w:t>
            </w:r>
          </w:p>
        </w:tc>
        <w:tc>
          <w:tcPr>
            <w:tcW w:w="1022" w:type="dxa"/>
            <w:tcBorders>
              <w:top w:val="single" w:sz="4" w:space="0" w:color="17365D"/>
              <w:left w:val="nil"/>
              <w:bottom w:val="single" w:sz="4" w:space="0" w:color="17365D"/>
              <w:right w:val="nil"/>
            </w:tcBorders>
            <w:shd w:val="clear" w:color="auto" w:fill="auto"/>
            <w:vAlign w:val="center"/>
          </w:tcPr>
          <w:p w14:paraId="415F0B64" w14:textId="355D7D9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-1 605 639</w:t>
            </w:r>
          </w:p>
        </w:tc>
        <w:tc>
          <w:tcPr>
            <w:tcW w:w="1022" w:type="dxa"/>
            <w:tcBorders>
              <w:top w:val="single" w:sz="4" w:space="0" w:color="17365D"/>
              <w:left w:val="nil"/>
              <w:bottom w:val="single" w:sz="4" w:space="0" w:color="17365D"/>
              <w:right w:val="nil"/>
            </w:tcBorders>
            <w:shd w:val="clear" w:color="auto" w:fill="auto"/>
            <w:vAlign w:val="center"/>
          </w:tcPr>
          <w:p w14:paraId="7644E0B4" w14:textId="1528C26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-2 164 321</w:t>
            </w:r>
          </w:p>
        </w:tc>
        <w:tc>
          <w:tcPr>
            <w:tcW w:w="1022" w:type="dxa"/>
            <w:tcBorders>
              <w:top w:val="single" w:sz="4" w:space="0" w:color="17365D"/>
              <w:left w:val="nil"/>
              <w:bottom w:val="single" w:sz="4" w:space="0" w:color="17365D"/>
              <w:right w:val="nil"/>
            </w:tcBorders>
            <w:shd w:val="clear" w:color="auto" w:fill="auto"/>
            <w:vAlign w:val="center"/>
          </w:tcPr>
          <w:p w14:paraId="4B6D5060" w14:textId="111E6C5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17 156 454</w:t>
            </w:r>
          </w:p>
        </w:tc>
      </w:tr>
      <w:tr w:rsidR="00D613A6" w:rsidRPr="00D613A6" w14:paraId="60371A78" w14:textId="77777777" w:rsidTr="004A4F53">
        <w:trPr>
          <w:trHeight w:val="284"/>
        </w:trPr>
        <w:tc>
          <w:tcPr>
            <w:tcW w:w="639" w:type="dxa"/>
            <w:tcBorders>
              <w:top w:val="single" w:sz="4" w:space="0" w:color="17365D"/>
              <w:bottom w:val="single" w:sz="4" w:space="0" w:color="17365D"/>
            </w:tcBorders>
            <w:shd w:val="clear" w:color="auto" w:fill="auto"/>
            <w:vAlign w:val="center"/>
          </w:tcPr>
          <w:p w14:paraId="0577386D" w14:textId="2D88A3C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1000</w:t>
            </w:r>
          </w:p>
        </w:tc>
        <w:tc>
          <w:tcPr>
            <w:tcW w:w="1692" w:type="dxa"/>
            <w:tcBorders>
              <w:top w:val="single" w:sz="4" w:space="0" w:color="17365D"/>
              <w:bottom w:val="single" w:sz="4" w:space="0" w:color="17365D"/>
            </w:tcBorders>
            <w:shd w:val="clear" w:color="auto" w:fill="auto"/>
            <w:vAlign w:val="center"/>
          </w:tcPr>
          <w:p w14:paraId="49BC7275" w14:textId="6E062488"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Atlīdzība</w:t>
            </w:r>
          </w:p>
        </w:tc>
        <w:tc>
          <w:tcPr>
            <w:tcW w:w="1022" w:type="dxa"/>
            <w:tcBorders>
              <w:top w:val="single" w:sz="4" w:space="0" w:color="17365D"/>
              <w:left w:val="nil"/>
              <w:bottom w:val="single" w:sz="4" w:space="0" w:color="17365D"/>
              <w:right w:val="nil"/>
            </w:tcBorders>
            <w:shd w:val="clear" w:color="auto" w:fill="auto"/>
            <w:vAlign w:val="center"/>
          </w:tcPr>
          <w:p w14:paraId="5D7FC992" w14:textId="5418C5D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16 879 169</w:t>
            </w:r>
          </w:p>
        </w:tc>
        <w:tc>
          <w:tcPr>
            <w:tcW w:w="1022" w:type="dxa"/>
            <w:tcBorders>
              <w:top w:val="single" w:sz="4" w:space="0" w:color="17365D"/>
              <w:left w:val="nil"/>
              <w:bottom w:val="single" w:sz="4" w:space="0" w:color="17365D"/>
              <w:right w:val="nil"/>
            </w:tcBorders>
            <w:shd w:val="clear" w:color="auto" w:fill="auto"/>
            <w:vAlign w:val="center"/>
          </w:tcPr>
          <w:p w14:paraId="0A64C26E" w14:textId="7A35CA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17 078 447</w:t>
            </w:r>
          </w:p>
        </w:tc>
        <w:tc>
          <w:tcPr>
            <w:tcW w:w="898" w:type="dxa"/>
            <w:tcBorders>
              <w:top w:val="single" w:sz="4" w:space="0" w:color="17365D"/>
              <w:left w:val="nil"/>
              <w:bottom w:val="single" w:sz="4" w:space="0" w:color="17365D"/>
              <w:right w:val="nil"/>
            </w:tcBorders>
            <w:shd w:val="clear" w:color="auto" w:fill="auto"/>
            <w:vAlign w:val="center"/>
          </w:tcPr>
          <w:p w14:paraId="5683A803" w14:textId="2BDFB4C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199 278</w:t>
            </w:r>
          </w:p>
        </w:tc>
        <w:tc>
          <w:tcPr>
            <w:tcW w:w="1022" w:type="dxa"/>
            <w:tcBorders>
              <w:top w:val="single" w:sz="4" w:space="0" w:color="17365D"/>
              <w:left w:val="nil"/>
              <w:bottom w:val="single" w:sz="4" w:space="0" w:color="17365D"/>
              <w:right w:val="nil"/>
            </w:tcBorders>
            <w:shd w:val="clear" w:color="auto" w:fill="auto"/>
            <w:vAlign w:val="center"/>
          </w:tcPr>
          <w:p w14:paraId="13D161D2" w14:textId="548F15D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16 077 554</w:t>
            </w:r>
          </w:p>
        </w:tc>
        <w:tc>
          <w:tcPr>
            <w:tcW w:w="1022" w:type="dxa"/>
            <w:tcBorders>
              <w:top w:val="single" w:sz="4" w:space="0" w:color="17365D"/>
              <w:left w:val="nil"/>
              <w:bottom w:val="single" w:sz="4" w:space="0" w:color="17365D"/>
              <w:right w:val="nil"/>
            </w:tcBorders>
            <w:shd w:val="clear" w:color="auto" w:fill="auto"/>
            <w:vAlign w:val="center"/>
          </w:tcPr>
          <w:p w14:paraId="62A269E3" w14:textId="7A87EAA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-801 615</w:t>
            </w:r>
          </w:p>
        </w:tc>
        <w:tc>
          <w:tcPr>
            <w:tcW w:w="1022" w:type="dxa"/>
            <w:tcBorders>
              <w:top w:val="single" w:sz="4" w:space="0" w:color="17365D"/>
              <w:left w:val="nil"/>
              <w:bottom w:val="single" w:sz="4" w:space="0" w:color="17365D"/>
              <w:right w:val="nil"/>
            </w:tcBorders>
            <w:shd w:val="clear" w:color="auto" w:fill="auto"/>
            <w:vAlign w:val="center"/>
          </w:tcPr>
          <w:p w14:paraId="0BC516F0" w14:textId="6696A0E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-1 000 893</w:t>
            </w:r>
          </w:p>
        </w:tc>
        <w:tc>
          <w:tcPr>
            <w:tcW w:w="1022" w:type="dxa"/>
            <w:tcBorders>
              <w:top w:val="single" w:sz="4" w:space="0" w:color="17365D"/>
              <w:left w:val="nil"/>
              <w:bottom w:val="single" w:sz="4" w:space="0" w:color="17365D"/>
              <w:right w:val="nil"/>
            </w:tcBorders>
            <w:shd w:val="clear" w:color="auto" w:fill="auto"/>
            <w:vAlign w:val="center"/>
          </w:tcPr>
          <w:p w14:paraId="230DB720" w14:textId="1B07AE5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13 841 280</w:t>
            </w:r>
          </w:p>
        </w:tc>
      </w:tr>
      <w:tr w:rsidR="00D613A6" w:rsidRPr="00D613A6" w14:paraId="5DC20B77" w14:textId="77777777" w:rsidTr="004A4F53">
        <w:trPr>
          <w:trHeight w:val="284"/>
        </w:trPr>
        <w:tc>
          <w:tcPr>
            <w:tcW w:w="639" w:type="dxa"/>
            <w:tcBorders>
              <w:top w:val="single" w:sz="4" w:space="0" w:color="17365D"/>
              <w:bottom w:val="single" w:sz="4" w:space="0" w:color="17365D"/>
            </w:tcBorders>
            <w:shd w:val="clear" w:color="auto" w:fill="auto"/>
            <w:vAlign w:val="center"/>
          </w:tcPr>
          <w:p w14:paraId="1E934EC2" w14:textId="6DFF121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2000</w:t>
            </w:r>
          </w:p>
        </w:tc>
        <w:tc>
          <w:tcPr>
            <w:tcW w:w="1692" w:type="dxa"/>
            <w:tcBorders>
              <w:top w:val="single" w:sz="4" w:space="0" w:color="17365D"/>
              <w:bottom w:val="single" w:sz="4" w:space="0" w:color="17365D"/>
            </w:tcBorders>
            <w:shd w:val="clear" w:color="auto" w:fill="auto"/>
            <w:vAlign w:val="center"/>
          </w:tcPr>
          <w:p w14:paraId="144137E7" w14:textId="7CB4753B"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Preces un pakalpojumi</w:t>
            </w:r>
          </w:p>
        </w:tc>
        <w:tc>
          <w:tcPr>
            <w:tcW w:w="1022" w:type="dxa"/>
            <w:tcBorders>
              <w:top w:val="single" w:sz="4" w:space="0" w:color="17365D"/>
              <w:left w:val="nil"/>
              <w:bottom w:val="single" w:sz="4" w:space="0" w:color="17365D"/>
              <w:right w:val="nil"/>
            </w:tcBorders>
            <w:shd w:val="clear" w:color="auto" w:fill="auto"/>
            <w:vAlign w:val="center"/>
          </w:tcPr>
          <w:p w14:paraId="250A6113" w14:textId="58E9F1E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4 273 346</w:t>
            </w:r>
          </w:p>
        </w:tc>
        <w:tc>
          <w:tcPr>
            <w:tcW w:w="1022" w:type="dxa"/>
            <w:tcBorders>
              <w:top w:val="single" w:sz="4" w:space="0" w:color="17365D"/>
              <w:left w:val="nil"/>
              <w:bottom w:val="single" w:sz="4" w:space="0" w:color="17365D"/>
              <w:right w:val="nil"/>
            </w:tcBorders>
            <w:shd w:val="clear" w:color="auto" w:fill="auto"/>
            <w:vAlign w:val="center"/>
          </w:tcPr>
          <w:p w14:paraId="1A3AECAC" w14:textId="009E9A2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4 632 750</w:t>
            </w:r>
          </w:p>
        </w:tc>
        <w:tc>
          <w:tcPr>
            <w:tcW w:w="898" w:type="dxa"/>
            <w:tcBorders>
              <w:top w:val="single" w:sz="4" w:space="0" w:color="17365D"/>
              <w:left w:val="nil"/>
              <w:bottom w:val="single" w:sz="4" w:space="0" w:color="17365D"/>
              <w:right w:val="nil"/>
            </w:tcBorders>
            <w:shd w:val="clear" w:color="auto" w:fill="auto"/>
            <w:vAlign w:val="center"/>
          </w:tcPr>
          <w:p w14:paraId="619642FF" w14:textId="54BBBC7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359 404</w:t>
            </w:r>
          </w:p>
        </w:tc>
        <w:tc>
          <w:tcPr>
            <w:tcW w:w="1022" w:type="dxa"/>
            <w:tcBorders>
              <w:top w:val="single" w:sz="4" w:space="0" w:color="17365D"/>
              <w:left w:val="nil"/>
              <w:bottom w:val="single" w:sz="4" w:space="0" w:color="17365D"/>
              <w:right w:val="nil"/>
            </w:tcBorders>
            <w:shd w:val="clear" w:color="auto" w:fill="auto"/>
            <w:vAlign w:val="center"/>
          </w:tcPr>
          <w:p w14:paraId="5C951989" w14:textId="4C2738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3 469 322</w:t>
            </w:r>
          </w:p>
        </w:tc>
        <w:tc>
          <w:tcPr>
            <w:tcW w:w="1022" w:type="dxa"/>
            <w:tcBorders>
              <w:top w:val="single" w:sz="4" w:space="0" w:color="17365D"/>
              <w:left w:val="nil"/>
              <w:bottom w:val="single" w:sz="4" w:space="0" w:color="17365D"/>
              <w:right w:val="nil"/>
            </w:tcBorders>
            <w:shd w:val="clear" w:color="auto" w:fill="auto"/>
            <w:vAlign w:val="center"/>
          </w:tcPr>
          <w:p w14:paraId="5F0181FF" w14:textId="4CDF953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-804 024</w:t>
            </w:r>
          </w:p>
        </w:tc>
        <w:tc>
          <w:tcPr>
            <w:tcW w:w="1022" w:type="dxa"/>
            <w:tcBorders>
              <w:top w:val="single" w:sz="4" w:space="0" w:color="17365D"/>
              <w:left w:val="nil"/>
              <w:bottom w:val="single" w:sz="4" w:space="0" w:color="17365D"/>
              <w:right w:val="nil"/>
            </w:tcBorders>
            <w:shd w:val="clear" w:color="auto" w:fill="auto"/>
            <w:vAlign w:val="center"/>
          </w:tcPr>
          <w:p w14:paraId="57E4FCAF" w14:textId="106991E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-1 163 428</w:t>
            </w:r>
          </w:p>
        </w:tc>
        <w:tc>
          <w:tcPr>
            <w:tcW w:w="1022" w:type="dxa"/>
            <w:tcBorders>
              <w:top w:val="single" w:sz="4" w:space="0" w:color="17365D"/>
              <w:left w:val="nil"/>
              <w:bottom w:val="single" w:sz="4" w:space="0" w:color="17365D"/>
              <w:right w:val="nil"/>
            </w:tcBorders>
            <w:shd w:val="clear" w:color="auto" w:fill="auto"/>
            <w:vAlign w:val="center"/>
          </w:tcPr>
          <w:p w14:paraId="06BEB8BE" w14:textId="633C2B3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3 315 174</w:t>
            </w:r>
          </w:p>
        </w:tc>
      </w:tr>
      <w:tr w:rsidR="00D613A6" w:rsidRPr="00D613A6" w14:paraId="734EA178"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3B9325B4" w14:textId="7E26F3AD"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1.3.</w:t>
            </w:r>
          </w:p>
        </w:tc>
        <w:tc>
          <w:tcPr>
            <w:tcW w:w="1692" w:type="dxa"/>
            <w:tcBorders>
              <w:top w:val="single" w:sz="4" w:space="0" w:color="17365D"/>
              <w:left w:val="nil"/>
              <w:bottom w:val="single" w:sz="4" w:space="0" w:color="17365D"/>
              <w:right w:val="nil"/>
            </w:tcBorders>
            <w:shd w:val="clear" w:color="auto" w:fill="auto"/>
            <w:vAlign w:val="center"/>
          </w:tcPr>
          <w:p w14:paraId="171A3865" w14:textId="50DA0EC9" w:rsidR="00A312B3" w:rsidRPr="00D613A6" w:rsidRDefault="00427E2E" w:rsidP="00A312B3">
            <w:pPr>
              <w:pStyle w:val="Pamatteksts1"/>
              <w:spacing w:before="40" w:after="40"/>
              <w:ind w:firstLine="0"/>
              <w:jc w:val="left"/>
              <w:rPr>
                <w:color w:val="17365D"/>
                <w:sz w:val="16"/>
                <w:szCs w:val="16"/>
              </w:rPr>
            </w:pPr>
            <w:r w:rsidRPr="00D613A6">
              <w:rPr>
                <w:color w:val="17365D"/>
                <w:sz w:val="16"/>
                <w:szCs w:val="16"/>
              </w:rPr>
              <w:t>Subsīdijas, dotācijas un sociāla rakstura maksājumi un kompensācijas</w:t>
            </w:r>
          </w:p>
        </w:tc>
        <w:tc>
          <w:tcPr>
            <w:tcW w:w="1022" w:type="dxa"/>
            <w:tcBorders>
              <w:top w:val="single" w:sz="4" w:space="0" w:color="17365D"/>
              <w:left w:val="nil"/>
              <w:bottom w:val="single" w:sz="4" w:space="0" w:color="17365D"/>
              <w:right w:val="nil"/>
            </w:tcBorders>
            <w:shd w:val="clear" w:color="auto" w:fill="auto"/>
            <w:vAlign w:val="center"/>
          </w:tcPr>
          <w:p w14:paraId="63F23189" w14:textId="6948994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5D635379" w14:textId="617443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898" w:type="dxa"/>
            <w:tcBorders>
              <w:top w:val="single" w:sz="4" w:space="0" w:color="17365D"/>
              <w:left w:val="nil"/>
              <w:bottom w:val="single" w:sz="4" w:space="0" w:color="17365D"/>
              <w:right w:val="nil"/>
            </w:tcBorders>
            <w:shd w:val="clear" w:color="auto" w:fill="auto"/>
            <w:vAlign w:val="center"/>
          </w:tcPr>
          <w:p w14:paraId="468628B7" w14:textId="2189BE0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1022" w:type="dxa"/>
            <w:tcBorders>
              <w:top w:val="single" w:sz="4" w:space="0" w:color="17365D"/>
              <w:left w:val="nil"/>
              <w:bottom w:val="single" w:sz="4" w:space="0" w:color="17365D"/>
              <w:right w:val="nil"/>
            </w:tcBorders>
            <w:shd w:val="clear" w:color="auto" w:fill="auto"/>
            <w:vAlign w:val="center"/>
          </w:tcPr>
          <w:p w14:paraId="23D4D391" w14:textId="1FE1882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1022" w:type="dxa"/>
            <w:tcBorders>
              <w:top w:val="single" w:sz="4" w:space="0" w:color="17365D"/>
              <w:left w:val="nil"/>
              <w:bottom w:val="single" w:sz="4" w:space="0" w:color="17365D"/>
              <w:right w:val="nil"/>
            </w:tcBorders>
            <w:shd w:val="clear" w:color="auto" w:fill="auto"/>
            <w:vAlign w:val="center"/>
          </w:tcPr>
          <w:p w14:paraId="36C52869" w14:textId="0B73DA1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44AC099A" w14:textId="14927BA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16F94166" w14:textId="4FE1F40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50 000</w:t>
            </w:r>
          </w:p>
        </w:tc>
      </w:tr>
      <w:tr w:rsidR="00D613A6" w:rsidRPr="00D613A6" w14:paraId="0881A5A2"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4B4A6EF0" w14:textId="40F3259F"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7000</w:t>
            </w:r>
          </w:p>
        </w:tc>
        <w:tc>
          <w:tcPr>
            <w:tcW w:w="1692" w:type="dxa"/>
            <w:tcBorders>
              <w:top w:val="single" w:sz="4" w:space="0" w:color="17365D"/>
              <w:left w:val="nil"/>
              <w:bottom w:val="single" w:sz="4" w:space="0" w:color="17365D"/>
              <w:right w:val="nil"/>
            </w:tcBorders>
            <w:shd w:val="clear" w:color="auto" w:fill="auto"/>
            <w:vAlign w:val="center"/>
          </w:tcPr>
          <w:p w14:paraId="018EBD71" w14:textId="62C4438B"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 xml:space="preserve">Transferti, uzturēšanas izdevumu transferti, pašu resursu maksājumi, starptautiskā sadarbība </w:t>
            </w:r>
          </w:p>
        </w:tc>
        <w:tc>
          <w:tcPr>
            <w:tcW w:w="1022" w:type="dxa"/>
            <w:tcBorders>
              <w:top w:val="single" w:sz="4" w:space="0" w:color="17365D"/>
              <w:left w:val="nil"/>
              <w:bottom w:val="single" w:sz="4" w:space="0" w:color="17365D"/>
              <w:right w:val="nil"/>
            </w:tcBorders>
            <w:shd w:val="clear" w:color="auto" w:fill="auto"/>
            <w:vAlign w:val="center"/>
          </w:tcPr>
          <w:p w14:paraId="5C0639C4" w14:textId="0393AA2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1 689 750</w:t>
            </w:r>
          </w:p>
        </w:tc>
        <w:tc>
          <w:tcPr>
            <w:tcW w:w="1022" w:type="dxa"/>
            <w:tcBorders>
              <w:top w:val="single" w:sz="4" w:space="0" w:color="17365D"/>
              <w:left w:val="nil"/>
              <w:bottom w:val="single" w:sz="4" w:space="0" w:color="17365D"/>
              <w:right w:val="nil"/>
            </w:tcBorders>
            <w:shd w:val="clear" w:color="auto" w:fill="auto"/>
            <w:vAlign w:val="center"/>
          </w:tcPr>
          <w:p w14:paraId="75E30A5D" w14:textId="045FA7A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1 740 219</w:t>
            </w:r>
          </w:p>
        </w:tc>
        <w:tc>
          <w:tcPr>
            <w:tcW w:w="898" w:type="dxa"/>
            <w:tcBorders>
              <w:top w:val="single" w:sz="4" w:space="0" w:color="17365D"/>
              <w:left w:val="nil"/>
              <w:bottom w:val="single" w:sz="4" w:space="0" w:color="17365D"/>
              <w:right w:val="nil"/>
            </w:tcBorders>
            <w:shd w:val="clear" w:color="auto" w:fill="auto"/>
            <w:vAlign w:val="center"/>
          </w:tcPr>
          <w:p w14:paraId="22118840" w14:textId="47F913A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50 469</w:t>
            </w:r>
          </w:p>
        </w:tc>
        <w:tc>
          <w:tcPr>
            <w:tcW w:w="1022" w:type="dxa"/>
            <w:tcBorders>
              <w:top w:val="single" w:sz="4" w:space="0" w:color="17365D"/>
              <w:left w:val="nil"/>
              <w:bottom w:val="single" w:sz="4" w:space="0" w:color="17365D"/>
              <w:right w:val="nil"/>
            </w:tcBorders>
            <w:shd w:val="clear" w:color="auto" w:fill="auto"/>
            <w:vAlign w:val="center"/>
          </w:tcPr>
          <w:p w14:paraId="15A4B979" w14:textId="01F9E1B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1 713 458</w:t>
            </w:r>
          </w:p>
        </w:tc>
        <w:tc>
          <w:tcPr>
            <w:tcW w:w="1022" w:type="dxa"/>
            <w:tcBorders>
              <w:top w:val="single" w:sz="4" w:space="0" w:color="17365D"/>
              <w:left w:val="nil"/>
              <w:bottom w:val="single" w:sz="4" w:space="0" w:color="17365D"/>
              <w:right w:val="nil"/>
            </w:tcBorders>
            <w:shd w:val="clear" w:color="auto" w:fill="auto"/>
            <w:vAlign w:val="center"/>
          </w:tcPr>
          <w:p w14:paraId="6B6C0F9A" w14:textId="562EA35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856</w:t>
            </w:r>
          </w:p>
        </w:tc>
        <w:tc>
          <w:tcPr>
            <w:tcW w:w="1022" w:type="dxa"/>
            <w:tcBorders>
              <w:top w:val="single" w:sz="4" w:space="0" w:color="17365D"/>
              <w:left w:val="nil"/>
              <w:bottom w:val="single" w:sz="4" w:space="0" w:color="17365D"/>
              <w:right w:val="nil"/>
            </w:tcBorders>
            <w:shd w:val="clear" w:color="auto" w:fill="auto"/>
            <w:vAlign w:val="center"/>
          </w:tcPr>
          <w:p w14:paraId="2B9F6D13" w14:textId="0DC867D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-26 761</w:t>
            </w:r>
          </w:p>
        </w:tc>
        <w:tc>
          <w:tcPr>
            <w:tcW w:w="1022" w:type="dxa"/>
            <w:tcBorders>
              <w:top w:val="single" w:sz="4" w:space="0" w:color="17365D"/>
              <w:left w:val="nil"/>
              <w:bottom w:val="single" w:sz="4" w:space="0" w:color="17365D"/>
              <w:right w:val="nil"/>
            </w:tcBorders>
            <w:shd w:val="clear" w:color="auto" w:fill="auto"/>
            <w:vAlign w:val="center"/>
          </w:tcPr>
          <w:p w14:paraId="1E283B8F" w14:textId="5DC1A38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2 104 778</w:t>
            </w:r>
          </w:p>
        </w:tc>
      </w:tr>
      <w:tr w:rsidR="00D613A6" w:rsidRPr="00D613A6" w14:paraId="0FEB0771"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6B88B8D8" w14:textId="4AF71BE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1.4.</w:t>
            </w:r>
          </w:p>
        </w:tc>
        <w:tc>
          <w:tcPr>
            <w:tcW w:w="1692" w:type="dxa"/>
            <w:tcBorders>
              <w:top w:val="single" w:sz="4" w:space="0" w:color="17365D"/>
              <w:left w:val="nil"/>
              <w:bottom w:val="single" w:sz="4" w:space="0" w:color="17365D"/>
              <w:right w:val="nil"/>
            </w:tcBorders>
            <w:shd w:val="clear" w:color="auto" w:fill="auto"/>
            <w:vAlign w:val="center"/>
          </w:tcPr>
          <w:p w14:paraId="77282EE0" w14:textId="1E60297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Kārtējie maksājumi Eiropas Savienības budžetā un starptautiskā sadarbība</w:t>
            </w:r>
          </w:p>
        </w:tc>
        <w:tc>
          <w:tcPr>
            <w:tcW w:w="1022" w:type="dxa"/>
            <w:tcBorders>
              <w:top w:val="single" w:sz="4" w:space="0" w:color="17365D"/>
              <w:left w:val="nil"/>
              <w:bottom w:val="single" w:sz="4" w:space="0" w:color="17365D"/>
              <w:right w:val="nil"/>
            </w:tcBorders>
            <w:shd w:val="clear" w:color="auto" w:fill="auto"/>
            <w:vAlign w:val="center"/>
          </w:tcPr>
          <w:p w14:paraId="5B9B43AE" w14:textId="176CA87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1 438 000</w:t>
            </w:r>
          </w:p>
        </w:tc>
        <w:tc>
          <w:tcPr>
            <w:tcW w:w="1022" w:type="dxa"/>
            <w:tcBorders>
              <w:top w:val="single" w:sz="4" w:space="0" w:color="17365D"/>
              <w:left w:val="nil"/>
              <w:bottom w:val="single" w:sz="4" w:space="0" w:color="17365D"/>
              <w:right w:val="nil"/>
            </w:tcBorders>
            <w:shd w:val="clear" w:color="auto" w:fill="auto"/>
            <w:vAlign w:val="center"/>
          </w:tcPr>
          <w:p w14:paraId="6E80513C" w14:textId="08E0176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1 435 441</w:t>
            </w:r>
          </w:p>
        </w:tc>
        <w:tc>
          <w:tcPr>
            <w:tcW w:w="898" w:type="dxa"/>
            <w:tcBorders>
              <w:top w:val="single" w:sz="4" w:space="0" w:color="17365D"/>
              <w:left w:val="nil"/>
              <w:bottom w:val="single" w:sz="4" w:space="0" w:color="17365D"/>
              <w:right w:val="nil"/>
            </w:tcBorders>
            <w:shd w:val="clear" w:color="auto" w:fill="auto"/>
            <w:vAlign w:val="center"/>
          </w:tcPr>
          <w:p w14:paraId="4BB961A2" w14:textId="393FE83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-2 559</w:t>
            </w:r>
          </w:p>
        </w:tc>
        <w:tc>
          <w:tcPr>
            <w:tcW w:w="1022" w:type="dxa"/>
            <w:tcBorders>
              <w:top w:val="single" w:sz="4" w:space="0" w:color="17365D"/>
              <w:left w:val="nil"/>
              <w:bottom w:val="single" w:sz="4" w:space="0" w:color="17365D"/>
              <w:right w:val="nil"/>
            </w:tcBorders>
            <w:shd w:val="clear" w:color="auto" w:fill="auto"/>
            <w:vAlign w:val="center"/>
          </w:tcPr>
          <w:p w14:paraId="21E360FD" w14:textId="5CD7731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1 427 970</w:t>
            </w:r>
          </w:p>
        </w:tc>
        <w:tc>
          <w:tcPr>
            <w:tcW w:w="1022" w:type="dxa"/>
            <w:tcBorders>
              <w:top w:val="single" w:sz="4" w:space="0" w:color="17365D"/>
              <w:left w:val="nil"/>
              <w:bottom w:val="single" w:sz="4" w:space="0" w:color="17365D"/>
              <w:right w:val="nil"/>
            </w:tcBorders>
            <w:shd w:val="clear" w:color="auto" w:fill="auto"/>
            <w:vAlign w:val="center"/>
          </w:tcPr>
          <w:p w14:paraId="2B0C9B49" w14:textId="492B5E1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-10 030</w:t>
            </w:r>
          </w:p>
        </w:tc>
        <w:tc>
          <w:tcPr>
            <w:tcW w:w="1022" w:type="dxa"/>
            <w:tcBorders>
              <w:top w:val="single" w:sz="4" w:space="0" w:color="17365D"/>
              <w:left w:val="nil"/>
              <w:bottom w:val="single" w:sz="4" w:space="0" w:color="17365D"/>
              <w:right w:val="nil"/>
            </w:tcBorders>
            <w:shd w:val="clear" w:color="auto" w:fill="auto"/>
            <w:vAlign w:val="center"/>
          </w:tcPr>
          <w:p w14:paraId="1DADFD0A" w14:textId="61E072F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-7 471</w:t>
            </w:r>
          </w:p>
        </w:tc>
        <w:tc>
          <w:tcPr>
            <w:tcW w:w="1022" w:type="dxa"/>
            <w:tcBorders>
              <w:top w:val="single" w:sz="4" w:space="0" w:color="17365D"/>
              <w:left w:val="nil"/>
              <w:bottom w:val="single" w:sz="4" w:space="0" w:color="17365D"/>
              <w:right w:val="nil"/>
            </w:tcBorders>
            <w:shd w:val="clear" w:color="auto" w:fill="auto"/>
            <w:vAlign w:val="center"/>
          </w:tcPr>
          <w:p w14:paraId="36D120FB" w14:textId="0BF3822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1 461 143</w:t>
            </w:r>
          </w:p>
        </w:tc>
      </w:tr>
      <w:tr w:rsidR="00D613A6" w:rsidRPr="00D613A6" w14:paraId="4C81FCCF"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42D9CFE6" w14:textId="04F6504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7700</w:t>
            </w:r>
          </w:p>
        </w:tc>
        <w:tc>
          <w:tcPr>
            <w:tcW w:w="1692" w:type="dxa"/>
            <w:tcBorders>
              <w:top w:val="single" w:sz="4" w:space="0" w:color="17365D"/>
              <w:left w:val="nil"/>
              <w:bottom w:val="single" w:sz="4" w:space="0" w:color="17365D"/>
              <w:right w:val="nil"/>
            </w:tcBorders>
            <w:shd w:val="clear" w:color="auto" w:fill="auto"/>
            <w:vAlign w:val="center"/>
          </w:tcPr>
          <w:p w14:paraId="39097017" w14:textId="6A23079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Starptautiskā sadarbība</w:t>
            </w:r>
          </w:p>
        </w:tc>
        <w:tc>
          <w:tcPr>
            <w:tcW w:w="1022" w:type="dxa"/>
            <w:tcBorders>
              <w:top w:val="single" w:sz="4" w:space="0" w:color="17365D"/>
              <w:left w:val="nil"/>
              <w:bottom w:val="single" w:sz="4" w:space="0" w:color="17365D"/>
              <w:right w:val="nil"/>
            </w:tcBorders>
            <w:shd w:val="clear" w:color="auto" w:fill="auto"/>
            <w:vAlign w:val="center"/>
          </w:tcPr>
          <w:p w14:paraId="3A1DEB69" w14:textId="4051754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1 438 000</w:t>
            </w:r>
          </w:p>
        </w:tc>
        <w:tc>
          <w:tcPr>
            <w:tcW w:w="1022" w:type="dxa"/>
            <w:tcBorders>
              <w:top w:val="single" w:sz="4" w:space="0" w:color="17365D"/>
              <w:left w:val="nil"/>
              <w:bottom w:val="single" w:sz="4" w:space="0" w:color="17365D"/>
              <w:right w:val="nil"/>
            </w:tcBorders>
            <w:shd w:val="clear" w:color="auto" w:fill="auto"/>
            <w:vAlign w:val="center"/>
          </w:tcPr>
          <w:p w14:paraId="28DCF8CE" w14:textId="35DD27D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1 435 441</w:t>
            </w:r>
          </w:p>
        </w:tc>
        <w:tc>
          <w:tcPr>
            <w:tcW w:w="898" w:type="dxa"/>
            <w:tcBorders>
              <w:top w:val="single" w:sz="4" w:space="0" w:color="17365D"/>
              <w:left w:val="nil"/>
              <w:bottom w:val="single" w:sz="4" w:space="0" w:color="17365D"/>
              <w:right w:val="nil"/>
            </w:tcBorders>
            <w:shd w:val="clear" w:color="auto" w:fill="auto"/>
            <w:vAlign w:val="center"/>
          </w:tcPr>
          <w:p w14:paraId="4041D2A0" w14:textId="36CEF7C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-2 559</w:t>
            </w:r>
          </w:p>
        </w:tc>
        <w:tc>
          <w:tcPr>
            <w:tcW w:w="1022" w:type="dxa"/>
            <w:tcBorders>
              <w:top w:val="single" w:sz="4" w:space="0" w:color="17365D"/>
              <w:left w:val="nil"/>
              <w:bottom w:val="single" w:sz="4" w:space="0" w:color="17365D"/>
              <w:right w:val="nil"/>
            </w:tcBorders>
            <w:shd w:val="clear" w:color="auto" w:fill="auto"/>
            <w:vAlign w:val="center"/>
          </w:tcPr>
          <w:p w14:paraId="383A0B28" w14:textId="7402923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1 427 970</w:t>
            </w:r>
          </w:p>
        </w:tc>
        <w:tc>
          <w:tcPr>
            <w:tcW w:w="1022" w:type="dxa"/>
            <w:tcBorders>
              <w:top w:val="single" w:sz="4" w:space="0" w:color="17365D"/>
              <w:left w:val="nil"/>
              <w:bottom w:val="single" w:sz="4" w:space="0" w:color="17365D"/>
              <w:right w:val="nil"/>
            </w:tcBorders>
            <w:shd w:val="clear" w:color="auto" w:fill="auto"/>
            <w:vAlign w:val="center"/>
          </w:tcPr>
          <w:p w14:paraId="25CADEDD" w14:textId="5CDFF9A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-10 030</w:t>
            </w:r>
          </w:p>
        </w:tc>
        <w:tc>
          <w:tcPr>
            <w:tcW w:w="1022" w:type="dxa"/>
            <w:tcBorders>
              <w:top w:val="single" w:sz="4" w:space="0" w:color="17365D"/>
              <w:left w:val="nil"/>
              <w:bottom w:val="single" w:sz="4" w:space="0" w:color="17365D"/>
              <w:right w:val="nil"/>
            </w:tcBorders>
            <w:shd w:val="clear" w:color="auto" w:fill="auto"/>
            <w:vAlign w:val="center"/>
          </w:tcPr>
          <w:p w14:paraId="72D49C40" w14:textId="530C797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-7 471</w:t>
            </w:r>
          </w:p>
        </w:tc>
        <w:tc>
          <w:tcPr>
            <w:tcW w:w="1022" w:type="dxa"/>
            <w:tcBorders>
              <w:top w:val="single" w:sz="4" w:space="0" w:color="17365D"/>
              <w:left w:val="nil"/>
              <w:bottom w:val="single" w:sz="4" w:space="0" w:color="17365D"/>
              <w:right w:val="nil"/>
            </w:tcBorders>
            <w:shd w:val="clear" w:color="auto" w:fill="auto"/>
            <w:vAlign w:val="center"/>
          </w:tcPr>
          <w:p w14:paraId="617B2687" w14:textId="32C549E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1 461 143</w:t>
            </w:r>
          </w:p>
        </w:tc>
      </w:tr>
      <w:tr w:rsidR="00D613A6" w:rsidRPr="00D613A6" w14:paraId="266A866F"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3D6B986C" w14:textId="787261B9"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1.5.</w:t>
            </w:r>
          </w:p>
        </w:tc>
        <w:tc>
          <w:tcPr>
            <w:tcW w:w="1692" w:type="dxa"/>
            <w:tcBorders>
              <w:top w:val="single" w:sz="4" w:space="0" w:color="17365D"/>
              <w:left w:val="nil"/>
              <w:bottom w:val="single" w:sz="4" w:space="0" w:color="17365D"/>
              <w:right w:val="nil"/>
            </w:tcBorders>
            <w:shd w:val="clear" w:color="auto" w:fill="auto"/>
            <w:vAlign w:val="center"/>
          </w:tcPr>
          <w:p w14:paraId="63C33648" w14:textId="5CE69AB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 xml:space="preserve">Transferti viena budžeta veida ietvaros un uzturēšanas izdevumu transferti starp budžeta veidiem </w:t>
            </w:r>
          </w:p>
        </w:tc>
        <w:tc>
          <w:tcPr>
            <w:tcW w:w="1022" w:type="dxa"/>
            <w:tcBorders>
              <w:top w:val="single" w:sz="4" w:space="0" w:color="17365D"/>
              <w:left w:val="nil"/>
              <w:bottom w:val="single" w:sz="4" w:space="0" w:color="17365D"/>
              <w:right w:val="nil"/>
            </w:tcBorders>
            <w:shd w:val="clear" w:color="auto" w:fill="auto"/>
            <w:vAlign w:val="center"/>
          </w:tcPr>
          <w:p w14:paraId="53065A32" w14:textId="2869942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251 750</w:t>
            </w:r>
          </w:p>
        </w:tc>
        <w:tc>
          <w:tcPr>
            <w:tcW w:w="1022" w:type="dxa"/>
            <w:tcBorders>
              <w:top w:val="single" w:sz="4" w:space="0" w:color="17365D"/>
              <w:left w:val="nil"/>
              <w:bottom w:val="single" w:sz="4" w:space="0" w:color="17365D"/>
              <w:right w:val="nil"/>
            </w:tcBorders>
            <w:shd w:val="clear" w:color="auto" w:fill="auto"/>
            <w:vAlign w:val="center"/>
          </w:tcPr>
          <w:p w14:paraId="35BF1B8A" w14:textId="6E5F437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304 778</w:t>
            </w:r>
          </w:p>
        </w:tc>
        <w:tc>
          <w:tcPr>
            <w:tcW w:w="898" w:type="dxa"/>
            <w:tcBorders>
              <w:top w:val="single" w:sz="4" w:space="0" w:color="17365D"/>
              <w:left w:val="nil"/>
              <w:bottom w:val="single" w:sz="4" w:space="0" w:color="17365D"/>
              <w:right w:val="nil"/>
            </w:tcBorders>
            <w:shd w:val="clear" w:color="auto" w:fill="auto"/>
            <w:vAlign w:val="center"/>
          </w:tcPr>
          <w:p w14:paraId="7F903BC5" w14:textId="1D0A865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53 028</w:t>
            </w:r>
          </w:p>
        </w:tc>
        <w:tc>
          <w:tcPr>
            <w:tcW w:w="1022" w:type="dxa"/>
            <w:tcBorders>
              <w:top w:val="single" w:sz="4" w:space="0" w:color="17365D"/>
              <w:left w:val="nil"/>
              <w:bottom w:val="single" w:sz="4" w:space="0" w:color="17365D"/>
              <w:right w:val="nil"/>
            </w:tcBorders>
            <w:shd w:val="clear" w:color="auto" w:fill="auto"/>
            <w:vAlign w:val="center"/>
          </w:tcPr>
          <w:p w14:paraId="5B51EF13" w14:textId="793D6E6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285 488</w:t>
            </w:r>
          </w:p>
        </w:tc>
        <w:tc>
          <w:tcPr>
            <w:tcW w:w="1022" w:type="dxa"/>
            <w:tcBorders>
              <w:top w:val="single" w:sz="4" w:space="0" w:color="17365D"/>
              <w:left w:val="nil"/>
              <w:bottom w:val="single" w:sz="4" w:space="0" w:color="17365D"/>
              <w:right w:val="nil"/>
            </w:tcBorders>
            <w:shd w:val="clear" w:color="auto" w:fill="auto"/>
            <w:vAlign w:val="center"/>
          </w:tcPr>
          <w:p w14:paraId="714D8524" w14:textId="690315E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10 886</w:t>
            </w:r>
          </w:p>
        </w:tc>
        <w:tc>
          <w:tcPr>
            <w:tcW w:w="1022" w:type="dxa"/>
            <w:tcBorders>
              <w:top w:val="single" w:sz="4" w:space="0" w:color="17365D"/>
              <w:left w:val="nil"/>
              <w:bottom w:val="single" w:sz="4" w:space="0" w:color="17365D"/>
              <w:right w:val="nil"/>
            </w:tcBorders>
            <w:shd w:val="clear" w:color="auto" w:fill="auto"/>
            <w:vAlign w:val="center"/>
          </w:tcPr>
          <w:p w14:paraId="45F99CBB" w14:textId="79DC9C6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-19 290</w:t>
            </w:r>
          </w:p>
        </w:tc>
        <w:tc>
          <w:tcPr>
            <w:tcW w:w="1022" w:type="dxa"/>
            <w:tcBorders>
              <w:top w:val="single" w:sz="4" w:space="0" w:color="17365D"/>
              <w:left w:val="nil"/>
              <w:bottom w:val="single" w:sz="4" w:space="0" w:color="17365D"/>
              <w:right w:val="nil"/>
            </w:tcBorders>
            <w:shd w:val="clear" w:color="auto" w:fill="auto"/>
            <w:vAlign w:val="center"/>
          </w:tcPr>
          <w:p w14:paraId="13FE8615" w14:textId="42AE31C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643 635</w:t>
            </w:r>
          </w:p>
        </w:tc>
      </w:tr>
      <w:tr w:rsidR="00D613A6" w:rsidRPr="00D613A6" w14:paraId="01E6163B"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2965FFE6" w14:textId="571BDD4F"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7800</w:t>
            </w:r>
          </w:p>
        </w:tc>
        <w:tc>
          <w:tcPr>
            <w:tcW w:w="1692" w:type="dxa"/>
            <w:tcBorders>
              <w:top w:val="single" w:sz="4" w:space="0" w:color="17365D"/>
              <w:left w:val="nil"/>
              <w:bottom w:val="single" w:sz="4" w:space="0" w:color="17365D"/>
              <w:right w:val="nil"/>
            </w:tcBorders>
            <w:shd w:val="clear" w:color="auto" w:fill="auto"/>
            <w:vAlign w:val="center"/>
          </w:tcPr>
          <w:p w14:paraId="4916D23A" w14:textId="15C9880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No valsts budžeta daļēji finansētu atvasināto publisko personu un budžeta nefinansētu iestāžu transferti un uzturēšanas izdevumu transferti</w:t>
            </w:r>
          </w:p>
        </w:tc>
        <w:tc>
          <w:tcPr>
            <w:tcW w:w="1022" w:type="dxa"/>
            <w:tcBorders>
              <w:top w:val="single" w:sz="4" w:space="0" w:color="17365D"/>
              <w:left w:val="nil"/>
              <w:bottom w:val="single" w:sz="4" w:space="0" w:color="17365D"/>
              <w:right w:val="nil"/>
            </w:tcBorders>
            <w:shd w:val="clear" w:color="auto" w:fill="auto"/>
            <w:vAlign w:val="center"/>
          </w:tcPr>
          <w:p w14:paraId="0B8BD357" w14:textId="7CCE1E0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251 750</w:t>
            </w:r>
          </w:p>
        </w:tc>
        <w:tc>
          <w:tcPr>
            <w:tcW w:w="1022" w:type="dxa"/>
            <w:tcBorders>
              <w:top w:val="single" w:sz="4" w:space="0" w:color="17365D"/>
              <w:left w:val="nil"/>
              <w:bottom w:val="single" w:sz="4" w:space="0" w:color="17365D"/>
              <w:right w:val="nil"/>
            </w:tcBorders>
            <w:shd w:val="clear" w:color="auto" w:fill="auto"/>
            <w:vAlign w:val="center"/>
          </w:tcPr>
          <w:p w14:paraId="0E376309" w14:textId="3C114B5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304 778</w:t>
            </w:r>
          </w:p>
        </w:tc>
        <w:tc>
          <w:tcPr>
            <w:tcW w:w="898" w:type="dxa"/>
            <w:tcBorders>
              <w:top w:val="single" w:sz="4" w:space="0" w:color="17365D"/>
              <w:left w:val="nil"/>
              <w:bottom w:val="single" w:sz="4" w:space="0" w:color="17365D"/>
              <w:right w:val="nil"/>
            </w:tcBorders>
            <w:shd w:val="clear" w:color="auto" w:fill="auto"/>
            <w:vAlign w:val="center"/>
          </w:tcPr>
          <w:p w14:paraId="7DDF0D1C" w14:textId="40CB0A8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53 028</w:t>
            </w:r>
          </w:p>
        </w:tc>
        <w:tc>
          <w:tcPr>
            <w:tcW w:w="1022" w:type="dxa"/>
            <w:tcBorders>
              <w:top w:val="single" w:sz="4" w:space="0" w:color="17365D"/>
              <w:left w:val="nil"/>
              <w:bottom w:val="single" w:sz="4" w:space="0" w:color="17365D"/>
              <w:right w:val="nil"/>
            </w:tcBorders>
            <w:shd w:val="clear" w:color="auto" w:fill="auto"/>
            <w:vAlign w:val="center"/>
          </w:tcPr>
          <w:p w14:paraId="7106D7E4" w14:textId="252F981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285 488</w:t>
            </w:r>
          </w:p>
        </w:tc>
        <w:tc>
          <w:tcPr>
            <w:tcW w:w="1022" w:type="dxa"/>
            <w:tcBorders>
              <w:top w:val="single" w:sz="4" w:space="0" w:color="17365D"/>
              <w:left w:val="nil"/>
              <w:bottom w:val="single" w:sz="4" w:space="0" w:color="17365D"/>
              <w:right w:val="nil"/>
            </w:tcBorders>
            <w:shd w:val="clear" w:color="auto" w:fill="auto"/>
            <w:vAlign w:val="center"/>
          </w:tcPr>
          <w:p w14:paraId="2E95353F" w14:textId="1477768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10 886</w:t>
            </w:r>
          </w:p>
        </w:tc>
        <w:tc>
          <w:tcPr>
            <w:tcW w:w="1022" w:type="dxa"/>
            <w:tcBorders>
              <w:top w:val="single" w:sz="4" w:space="0" w:color="17365D"/>
              <w:left w:val="nil"/>
              <w:bottom w:val="single" w:sz="4" w:space="0" w:color="17365D"/>
              <w:right w:val="nil"/>
            </w:tcBorders>
            <w:shd w:val="clear" w:color="auto" w:fill="auto"/>
            <w:vAlign w:val="center"/>
          </w:tcPr>
          <w:p w14:paraId="2D288FA0" w14:textId="3364111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-19 290</w:t>
            </w:r>
          </w:p>
        </w:tc>
        <w:tc>
          <w:tcPr>
            <w:tcW w:w="1022" w:type="dxa"/>
            <w:tcBorders>
              <w:top w:val="single" w:sz="4" w:space="0" w:color="17365D"/>
              <w:left w:val="nil"/>
              <w:bottom w:val="single" w:sz="4" w:space="0" w:color="17365D"/>
              <w:right w:val="nil"/>
            </w:tcBorders>
            <w:shd w:val="clear" w:color="auto" w:fill="auto"/>
            <w:vAlign w:val="center"/>
          </w:tcPr>
          <w:p w14:paraId="081AA985" w14:textId="47F29BF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643 635</w:t>
            </w:r>
          </w:p>
        </w:tc>
      </w:tr>
      <w:tr w:rsidR="00D613A6" w:rsidRPr="00D613A6" w14:paraId="00526E60" w14:textId="77777777" w:rsidTr="004A4F53">
        <w:trPr>
          <w:trHeight w:val="284"/>
        </w:trPr>
        <w:tc>
          <w:tcPr>
            <w:tcW w:w="639" w:type="dxa"/>
            <w:tcBorders>
              <w:top w:val="single" w:sz="4" w:space="0" w:color="17365D"/>
              <w:bottom w:val="single" w:sz="4" w:space="0" w:color="17365D"/>
              <w:right w:val="nil"/>
            </w:tcBorders>
            <w:shd w:val="clear" w:color="auto" w:fill="auto"/>
            <w:vAlign w:val="center"/>
          </w:tcPr>
          <w:p w14:paraId="4B96000C" w14:textId="6305F72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2.0.</w:t>
            </w:r>
          </w:p>
        </w:tc>
        <w:tc>
          <w:tcPr>
            <w:tcW w:w="1692" w:type="dxa"/>
            <w:tcBorders>
              <w:top w:val="single" w:sz="4" w:space="0" w:color="17365D"/>
              <w:left w:val="nil"/>
              <w:bottom w:val="single" w:sz="4" w:space="0" w:color="17365D"/>
              <w:right w:val="nil"/>
            </w:tcBorders>
            <w:shd w:val="clear" w:color="auto" w:fill="auto"/>
            <w:vAlign w:val="center"/>
          </w:tcPr>
          <w:p w14:paraId="548CA0E1" w14:textId="11BDB1D6"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Kapitālie izdevumi</w:t>
            </w:r>
          </w:p>
        </w:tc>
        <w:tc>
          <w:tcPr>
            <w:tcW w:w="1022" w:type="dxa"/>
            <w:tcBorders>
              <w:top w:val="single" w:sz="4" w:space="0" w:color="17365D"/>
              <w:left w:val="nil"/>
              <w:bottom w:val="single" w:sz="4" w:space="0" w:color="17365D"/>
              <w:right w:val="nil"/>
            </w:tcBorders>
            <w:shd w:val="clear" w:color="auto" w:fill="auto"/>
            <w:vAlign w:val="center"/>
          </w:tcPr>
          <w:p w14:paraId="3204AD62" w14:textId="1376317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707 917</w:t>
            </w:r>
          </w:p>
        </w:tc>
        <w:tc>
          <w:tcPr>
            <w:tcW w:w="1022" w:type="dxa"/>
            <w:tcBorders>
              <w:top w:val="single" w:sz="4" w:space="0" w:color="17365D"/>
              <w:left w:val="nil"/>
              <w:bottom w:val="single" w:sz="4" w:space="0" w:color="17365D"/>
              <w:right w:val="nil"/>
            </w:tcBorders>
            <w:shd w:val="clear" w:color="auto" w:fill="auto"/>
            <w:vAlign w:val="center"/>
          </w:tcPr>
          <w:p w14:paraId="787C53AD" w14:textId="31169F2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870 972</w:t>
            </w:r>
          </w:p>
        </w:tc>
        <w:tc>
          <w:tcPr>
            <w:tcW w:w="898" w:type="dxa"/>
            <w:tcBorders>
              <w:top w:val="single" w:sz="4" w:space="0" w:color="17365D"/>
              <w:left w:val="nil"/>
              <w:bottom w:val="single" w:sz="4" w:space="0" w:color="17365D"/>
              <w:right w:val="nil"/>
            </w:tcBorders>
            <w:shd w:val="clear" w:color="auto" w:fill="auto"/>
            <w:vAlign w:val="center"/>
          </w:tcPr>
          <w:p w14:paraId="54A31433" w14:textId="0F3FB1E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163 055</w:t>
            </w:r>
          </w:p>
        </w:tc>
        <w:tc>
          <w:tcPr>
            <w:tcW w:w="1022" w:type="dxa"/>
            <w:tcBorders>
              <w:top w:val="single" w:sz="4" w:space="0" w:color="17365D"/>
              <w:left w:val="nil"/>
              <w:bottom w:val="single" w:sz="4" w:space="0" w:color="17365D"/>
              <w:right w:val="nil"/>
            </w:tcBorders>
            <w:shd w:val="clear" w:color="auto" w:fill="auto"/>
            <w:vAlign w:val="center"/>
          </w:tcPr>
          <w:p w14:paraId="0F4AC837" w14:textId="1D83334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828 447</w:t>
            </w:r>
          </w:p>
        </w:tc>
        <w:tc>
          <w:tcPr>
            <w:tcW w:w="1022" w:type="dxa"/>
            <w:tcBorders>
              <w:top w:val="single" w:sz="4" w:space="0" w:color="17365D"/>
              <w:left w:val="nil"/>
              <w:bottom w:val="single" w:sz="4" w:space="0" w:color="17365D"/>
              <w:right w:val="nil"/>
            </w:tcBorders>
            <w:shd w:val="clear" w:color="auto" w:fill="auto"/>
            <w:vAlign w:val="center"/>
          </w:tcPr>
          <w:p w14:paraId="42EF97BC" w14:textId="004B018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120 530</w:t>
            </w:r>
          </w:p>
        </w:tc>
        <w:tc>
          <w:tcPr>
            <w:tcW w:w="1022" w:type="dxa"/>
            <w:tcBorders>
              <w:top w:val="single" w:sz="4" w:space="0" w:color="17365D"/>
              <w:left w:val="nil"/>
              <w:bottom w:val="single" w:sz="4" w:space="0" w:color="17365D"/>
              <w:right w:val="nil"/>
            </w:tcBorders>
            <w:shd w:val="clear" w:color="auto" w:fill="auto"/>
            <w:vAlign w:val="center"/>
          </w:tcPr>
          <w:p w14:paraId="7C9CD226" w14:textId="55B86FA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-42 525</w:t>
            </w:r>
          </w:p>
        </w:tc>
        <w:tc>
          <w:tcPr>
            <w:tcW w:w="1022" w:type="dxa"/>
            <w:tcBorders>
              <w:top w:val="single" w:sz="4" w:space="0" w:color="17365D"/>
              <w:left w:val="nil"/>
              <w:bottom w:val="single" w:sz="4" w:space="0" w:color="17365D"/>
              <w:right w:val="nil"/>
            </w:tcBorders>
            <w:shd w:val="clear" w:color="auto" w:fill="auto"/>
            <w:vAlign w:val="center"/>
          </w:tcPr>
          <w:p w14:paraId="2736E741" w14:textId="411AF68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1 486 872</w:t>
            </w:r>
          </w:p>
        </w:tc>
      </w:tr>
      <w:tr w:rsidR="00D613A6" w:rsidRPr="00D613A6" w14:paraId="62894973" w14:textId="77777777" w:rsidTr="004A4F53">
        <w:trPr>
          <w:trHeight w:val="284"/>
        </w:trPr>
        <w:tc>
          <w:tcPr>
            <w:tcW w:w="639" w:type="dxa"/>
            <w:tcBorders>
              <w:top w:val="single" w:sz="4" w:space="0" w:color="17365D"/>
              <w:bottom w:val="single" w:sz="4" w:space="0" w:color="17365D"/>
              <w:right w:val="nil"/>
            </w:tcBorders>
            <w:shd w:val="clear" w:color="auto" w:fill="auto"/>
            <w:vAlign w:val="center"/>
          </w:tcPr>
          <w:p w14:paraId="6E367932" w14:textId="76E6F8F1"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2.1.</w:t>
            </w:r>
          </w:p>
        </w:tc>
        <w:tc>
          <w:tcPr>
            <w:tcW w:w="1692" w:type="dxa"/>
            <w:tcBorders>
              <w:top w:val="single" w:sz="4" w:space="0" w:color="17365D"/>
              <w:left w:val="nil"/>
              <w:bottom w:val="single" w:sz="4" w:space="0" w:color="17365D"/>
              <w:right w:val="nil"/>
            </w:tcBorders>
            <w:shd w:val="clear" w:color="auto" w:fill="auto"/>
            <w:vAlign w:val="center"/>
          </w:tcPr>
          <w:p w14:paraId="3AD45A44" w14:textId="355C2C1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Pamatkapitāla veidošana</w:t>
            </w:r>
          </w:p>
        </w:tc>
        <w:tc>
          <w:tcPr>
            <w:tcW w:w="1022" w:type="dxa"/>
            <w:tcBorders>
              <w:top w:val="single" w:sz="4" w:space="0" w:color="17365D"/>
              <w:left w:val="nil"/>
              <w:bottom w:val="single" w:sz="4" w:space="0" w:color="17365D"/>
              <w:right w:val="nil"/>
            </w:tcBorders>
            <w:shd w:val="clear" w:color="auto" w:fill="auto"/>
            <w:vAlign w:val="center"/>
          </w:tcPr>
          <w:p w14:paraId="7F97BA24" w14:textId="554EC12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707 917</w:t>
            </w:r>
          </w:p>
        </w:tc>
        <w:tc>
          <w:tcPr>
            <w:tcW w:w="1022" w:type="dxa"/>
            <w:tcBorders>
              <w:top w:val="single" w:sz="4" w:space="0" w:color="17365D"/>
              <w:left w:val="nil"/>
              <w:bottom w:val="single" w:sz="4" w:space="0" w:color="17365D"/>
              <w:right w:val="nil"/>
            </w:tcBorders>
            <w:shd w:val="clear" w:color="auto" w:fill="auto"/>
            <w:vAlign w:val="center"/>
          </w:tcPr>
          <w:p w14:paraId="7ACCF64E" w14:textId="578A7AE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870 972</w:t>
            </w:r>
          </w:p>
        </w:tc>
        <w:tc>
          <w:tcPr>
            <w:tcW w:w="898" w:type="dxa"/>
            <w:tcBorders>
              <w:top w:val="single" w:sz="4" w:space="0" w:color="17365D"/>
              <w:left w:val="nil"/>
              <w:bottom w:val="single" w:sz="4" w:space="0" w:color="17365D"/>
              <w:right w:val="nil"/>
            </w:tcBorders>
            <w:shd w:val="clear" w:color="auto" w:fill="auto"/>
            <w:vAlign w:val="center"/>
          </w:tcPr>
          <w:p w14:paraId="2411F8A9" w14:textId="7B1359E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163 055</w:t>
            </w:r>
          </w:p>
        </w:tc>
        <w:tc>
          <w:tcPr>
            <w:tcW w:w="1022" w:type="dxa"/>
            <w:tcBorders>
              <w:top w:val="single" w:sz="4" w:space="0" w:color="17365D"/>
              <w:left w:val="nil"/>
              <w:bottom w:val="single" w:sz="4" w:space="0" w:color="17365D"/>
              <w:right w:val="nil"/>
            </w:tcBorders>
            <w:shd w:val="clear" w:color="auto" w:fill="auto"/>
            <w:vAlign w:val="center"/>
          </w:tcPr>
          <w:p w14:paraId="607D3BA4" w14:textId="73C84B6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828 447</w:t>
            </w:r>
          </w:p>
        </w:tc>
        <w:tc>
          <w:tcPr>
            <w:tcW w:w="1022" w:type="dxa"/>
            <w:tcBorders>
              <w:top w:val="single" w:sz="4" w:space="0" w:color="17365D"/>
              <w:left w:val="nil"/>
              <w:bottom w:val="single" w:sz="4" w:space="0" w:color="17365D"/>
              <w:right w:val="nil"/>
            </w:tcBorders>
            <w:shd w:val="clear" w:color="auto" w:fill="auto"/>
            <w:vAlign w:val="center"/>
          </w:tcPr>
          <w:p w14:paraId="3F65F106" w14:textId="564D59A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120 530</w:t>
            </w:r>
          </w:p>
        </w:tc>
        <w:tc>
          <w:tcPr>
            <w:tcW w:w="1022" w:type="dxa"/>
            <w:tcBorders>
              <w:top w:val="single" w:sz="4" w:space="0" w:color="17365D"/>
              <w:left w:val="nil"/>
              <w:bottom w:val="single" w:sz="4" w:space="0" w:color="17365D"/>
              <w:right w:val="nil"/>
            </w:tcBorders>
            <w:shd w:val="clear" w:color="auto" w:fill="auto"/>
            <w:vAlign w:val="center"/>
          </w:tcPr>
          <w:p w14:paraId="44DC42FA" w14:textId="4365C4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-42 525</w:t>
            </w:r>
          </w:p>
        </w:tc>
        <w:tc>
          <w:tcPr>
            <w:tcW w:w="1022" w:type="dxa"/>
            <w:tcBorders>
              <w:top w:val="single" w:sz="4" w:space="0" w:color="17365D"/>
              <w:left w:val="nil"/>
              <w:bottom w:val="single" w:sz="4" w:space="0" w:color="17365D"/>
              <w:right w:val="nil"/>
            </w:tcBorders>
            <w:shd w:val="clear" w:color="auto" w:fill="auto"/>
            <w:vAlign w:val="center"/>
          </w:tcPr>
          <w:p w14:paraId="51025BD1" w14:textId="0F9F327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1 486 872</w:t>
            </w:r>
          </w:p>
        </w:tc>
      </w:tr>
      <w:tr w:rsidR="00D613A6" w:rsidRPr="00D613A6" w14:paraId="2DC087BC" w14:textId="77777777" w:rsidTr="009E718D">
        <w:trPr>
          <w:trHeight w:val="284"/>
        </w:trPr>
        <w:tc>
          <w:tcPr>
            <w:tcW w:w="639" w:type="dxa"/>
            <w:tcBorders>
              <w:top w:val="single" w:sz="4" w:space="0" w:color="17365D"/>
              <w:bottom w:val="single" w:sz="4" w:space="0" w:color="17365D"/>
            </w:tcBorders>
            <w:shd w:val="clear" w:color="auto" w:fill="auto"/>
            <w:vAlign w:val="center"/>
          </w:tcPr>
          <w:p w14:paraId="650A2BFB" w14:textId="15E91FBA" w:rsidR="000A273C" w:rsidRPr="00D613A6" w:rsidRDefault="000A273C" w:rsidP="000A273C">
            <w:pPr>
              <w:pStyle w:val="Pamatteksts1"/>
              <w:spacing w:before="40" w:after="40"/>
              <w:ind w:firstLine="0"/>
              <w:jc w:val="left"/>
              <w:rPr>
                <w:b/>
                <w:color w:val="17365D"/>
                <w:sz w:val="16"/>
                <w:szCs w:val="16"/>
              </w:rPr>
            </w:pPr>
            <w:r w:rsidRPr="00D613A6">
              <w:rPr>
                <w:b/>
                <w:color w:val="17365D"/>
                <w:sz w:val="16"/>
                <w:szCs w:val="16"/>
              </w:rPr>
              <w:t>III.</w:t>
            </w:r>
          </w:p>
        </w:tc>
        <w:tc>
          <w:tcPr>
            <w:tcW w:w="1692" w:type="dxa"/>
            <w:tcBorders>
              <w:top w:val="single" w:sz="4" w:space="0" w:color="17365D"/>
              <w:bottom w:val="single" w:sz="4" w:space="0" w:color="17365D"/>
            </w:tcBorders>
            <w:shd w:val="clear" w:color="auto" w:fill="auto"/>
            <w:vAlign w:val="center"/>
          </w:tcPr>
          <w:p w14:paraId="5246229C" w14:textId="2C137366" w:rsidR="000A273C" w:rsidRPr="00D613A6" w:rsidRDefault="000A273C" w:rsidP="000A273C">
            <w:pPr>
              <w:pStyle w:val="Pamatteksts1"/>
              <w:spacing w:before="40" w:after="40"/>
              <w:ind w:firstLine="0"/>
              <w:jc w:val="left"/>
              <w:rPr>
                <w:b/>
                <w:color w:val="17365D"/>
                <w:sz w:val="16"/>
                <w:szCs w:val="16"/>
              </w:rPr>
            </w:pPr>
            <w:r w:rsidRPr="00D613A6">
              <w:rPr>
                <w:b/>
                <w:bCs/>
                <w:color w:val="17365D"/>
                <w:sz w:val="16"/>
                <w:szCs w:val="16"/>
              </w:rPr>
              <w:t>IEŅĒMUMU PĀRSNIEGUMS (+), DEFICĪTS (–) (I. – II.)</w:t>
            </w:r>
          </w:p>
        </w:tc>
        <w:tc>
          <w:tcPr>
            <w:tcW w:w="1022" w:type="dxa"/>
            <w:tcBorders>
              <w:top w:val="single" w:sz="4" w:space="0" w:color="17365D"/>
              <w:left w:val="nil"/>
              <w:bottom w:val="single" w:sz="4" w:space="0" w:color="17365D"/>
              <w:right w:val="nil"/>
            </w:tcBorders>
            <w:shd w:val="clear" w:color="auto" w:fill="auto"/>
            <w:vAlign w:val="center"/>
          </w:tcPr>
          <w:p w14:paraId="67AAA01F" w14:textId="04DB66F9"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17CDC338" w14:textId="4EF6FD22"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-2 883 887</w:t>
            </w:r>
          </w:p>
        </w:tc>
        <w:tc>
          <w:tcPr>
            <w:tcW w:w="898" w:type="dxa"/>
            <w:tcBorders>
              <w:top w:val="single" w:sz="4" w:space="0" w:color="17365D"/>
              <w:left w:val="nil"/>
              <w:bottom w:val="single" w:sz="4" w:space="0" w:color="17365D"/>
              <w:right w:val="nil"/>
            </w:tcBorders>
            <w:shd w:val="clear" w:color="auto" w:fill="auto"/>
            <w:tcMar>
              <w:left w:w="57" w:type="dxa"/>
              <w:right w:w="57" w:type="dxa"/>
            </w:tcMar>
            <w:vAlign w:val="center"/>
          </w:tcPr>
          <w:p w14:paraId="4BC6FBC8" w14:textId="34B3CA10"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2BB60997" w14:textId="040AEFB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019AA8D8" w14:textId="0E1CB23E"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254C28C8" w14:textId="4884901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75C550FA" w14:textId="2B25B29B"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-568 521</w:t>
            </w:r>
          </w:p>
        </w:tc>
      </w:tr>
      <w:tr w:rsidR="00D613A6" w:rsidRPr="00D613A6" w14:paraId="3431BEB9" w14:textId="77777777" w:rsidTr="00A312B3">
        <w:trPr>
          <w:trHeight w:val="284"/>
        </w:trPr>
        <w:tc>
          <w:tcPr>
            <w:tcW w:w="639" w:type="dxa"/>
            <w:tcBorders>
              <w:top w:val="single" w:sz="4" w:space="0" w:color="17365D"/>
              <w:bottom w:val="single" w:sz="4" w:space="0" w:color="17365D"/>
            </w:tcBorders>
            <w:shd w:val="clear" w:color="auto" w:fill="auto"/>
            <w:vAlign w:val="center"/>
          </w:tcPr>
          <w:p w14:paraId="34B4721F" w14:textId="2B72E4E2" w:rsidR="000A273C" w:rsidRPr="00D613A6" w:rsidRDefault="000A273C" w:rsidP="000A273C">
            <w:pPr>
              <w:pStyle w:val="Pamatteksts1"/>
              <w:spacing w:before="40" w:after="40"/>
              <w:ind w:firstLine="0"/>
              <w:jc w:val="left"/>
              <w:rPr>
                <w:b/>
                <w:color w:val="17365D"/>
                <w:sz w:val="16"/>
                <w:szCs w:val="16"/>
              </w:rPr>
            </w:pPr>
            <w:r w:rsidRPr="00D613A6">
              <w:rPr>
                <w:b/>
                <w:color w:val="17365D"/>
                <w:sz w:val="16"/>
                <w:szCs w:val="16"/>
              </w:rPr>
              <w:t>IV.</w:t>
            </w:r>
          </w:p>
        </w:tc>
        <w:tc>
          <w:tcPr>
            <w:tcW w:w="1692" w:type="dxa"/>
            <w:tcBorders>
              <w:top w:val="single" w:sz="4" w:space="0" w:color="17365D"/>
              <w:bottom w:val="single" w:sz="4" w:space="0" w:color="17365D"/>
            </w:tcBorders>
            <w:shd w:val="clear" w:color="auto" w:fill="auto"/>
            <w:vAlign w:val="center"/>
          </w:tcPr>
          <w:p w14:paraId="098AEAFA" w14:textId="013EE720" w:rsidR="000A273C" w:rsidRPr="00D613A6" w:rsidRDefault="000A273C" w:rsidP="000A273C">
            <w:pPr>
              <w:pStyle w:val="Pamatteksts1"/>
              <w:spacing w:before="40" w:after="40"/>
              <w:ind w:firstLine="0"/>
              <w:jc w:val="left"/>
              <w:rPr>
                <w:b/>
                <w:color w:val="17365D"/>
                <w:sz w:val="16"/>
                <w:szCs w:val="16"/>
              </w:rPr>
            </w:pPr>
            <w:r w:rsidRPr="00D613A6">
              <w:rPr>
                <w:b/>
                <w:bCs/>
                <w:color w:val="17365D"/>
                <w:sz w:val="16"/>
                <w:szCs w:val="16"/>
              </w:rPr>
              <w:t>Finansēšana</w:t>
            </w:r>
          </w:p>
        </w:tc>
        <w:tc>
          <w:tcPr>
            <w:tcW w:w="1022" w:type="dxa"/>
            <w:tcBorders>
              <w:top w:val="single" w:sz="4" w:space="0" w:color="17365D"/>
              <w:left w:val="nil"/>
              <w:bottom w:val="single" w:sz="4" w:space="0" w:color="17365D"/>
              <w:right w:val="nil"/>
            </w:tcBorders>
            <w:shd w:val="clear" w:color="auto" w:fill="auto"/>
            <w:vAlign w:val="center"/>
          </w:tcPr>
          <w:p w14:paraId="316538E3" w14:textId="543CD415"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13441B8F" w14:textId="06E3F1B8"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2 883 887</w:t>
            </w:r>
          </w:p>
        </w:tc>
        <w:tc>
          <w:tcPr>
            <w:tcW w:w="898" w:type="dxa"/>
            <w:tcBorders>
              <w:top w:val="single" w:sz="4" w:space="0" w:color="17365D"/>
              <w:left w:val="nil"/>
              <w:bottom w:val="single" w:sz="4" w:space="0" w:color="17365D"/>
              <w:right w:val="nil"/>
            </w:tcBorders>
            <w:shd w:val="clear" w:color="auto" w:fill="auto"/>
            <w:vAlign w:val="center"/>
          </w:tcPr>
          <w:p w14:paraId="36E1EE2E" w14:textId="74EF77D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147B1B27" w14:textId="26FD1CE8"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51CD62BC" w14:textId="671FA823"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4F51AFA5" w14:textId="504A0C32"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0BCC359F" w14:textId="204C72DB"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568 521</w:t>
            </w:r>
          </w:p>
        </w:tc>
      </w:tr>
      <w:tr w:rsidR="00D613A6" w:rsidRPr="00D613A6" w14:paraId="5AFBF21D"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566D18C8" w14:textId="71C3826C" w:rsidR="00461526" w:rsidRPr="00D613A6" w:rsidRDefault="00461526" w:rsidP="00461526">
            <w:pPr>
              <w:pStyle w:val="Pamatteksts1"/>
              <w:spacing w:before="40" w:after="40"/>
              <w:ind w:right="-113" w:firstLine="0"/>
              <w:jc w:val="left"/>
              <w:rPr>
                <w:color w:val="17365D"/>
                <w:sz w:val="16"/>
                <w:szCs w:val="16"/>
              </w:rPr>
            </w:pPr>
            <w:r w:rsidRPr="00D613A6">
              <w:rPr>
                <w:color w:val="17365D"/>
                <w:sz w:val="16"/>
                <w:szCs w:val="16"/>
              </w:rPr>
              <w:t>F20010000</w:t>
            </w:r>
          </w:p>
        </w:tc>
        <w:tc>
          <w:tcPr>
            <w:tcW w:w="1692" w:type="dxa"/>
            <w:tcBorders>
              <w:top w:val="single" w:sz="4" w:space="0" w:color="17365D"/>
              <w:left w:val="nil"/>
              <w:bottom w:val="single" w:sz="4" w:space="0" w:color="17365D"/>
              <w:right w:val="nil"/>
            </w:tcBorders>
            <w:shd w:val="clear" w:color="auto" w:fill="auto"/>
            <w:vAlign w:val="center"/>
          </w:tcPr>
          <w:p w14:paraId="325C89D2" w14:textId="65356CA5" w:rsidR="00461526" w:rsidRPr="00D613A6" w:rsidRDefault="00461526" w:rsidP="00461526">
            <w:pPr>
              <w:pStyle w:val="Pamatteksts1"/>
              <w:spacing w:before="40" w:after="40"/>
              <w:ind w:firstLine="0"/>
              <w:jc w:val="left"/>
              <w:rPr>
                <w:color w:val="17365D"/>
                <w:sz w:val="16"/>
                <w:szCs w:val="16"/>
              </w:rPr>
            </w:pPr>
            <w:r w:rsidRPr="00D613A6">
              <w:rPr>
                <w:bCs/>
                <w:color w:val="17365D"/>
                <w:sz w:val="16"/>
                <w:szCs w:val="16"/>
              </w:rPr>
              <w:t>Naudas līdzekļi un noguldījumi (bilances aktīvā</w:t>
            </w:r>
            <w:r w:rsidRPr="00D613A6">
              <w:rPr>
                <w:b/>
                <w:bCs/>
                <w:color w:val="17365D"/>
                <w:sz w:val="16"/>
                <w:szCs w:val="16"/>
              </w:rPr>
              <w:t>)</w:t>
            </w:r>
          </w:p>
        </w:tc>
        <w:tc>
          <w:tcPr>
            <w:tcW w:w="1022" w:type="dxa"/>
            <w:tcBorders>
              <w:top w:val="single" w:sz="4" w:space="0" w:color="17365D"/>
              <w:left w:val="nil"/>
              <w:bottom w:val="single" w:sz="4" w:space="0" w:color="17365D"/>
              <w:right w:val="nil"/>
            </w:tcBorders>
            <w:shd w:val="clear" w:color="auto" w:fill="auto"/>
            <w:vAlign w:val="center"/>
          </w:tcPr>
          <w:p w14:paraId="23201CF9" w14:textId="7BBCA420"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22045493" w14:textId="5E660935"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2 883 887</w:t>
            </w:r>
          </w:p>
        </w:tc>
        <w:tc>
          <w:tcPr>
            <w:tcW w:w="898" w:type="dxa"/>
            <w:tcBorders>
              <w:top w:val="single" w:sz="4" w:space="0" w:color="17365D"/>
              <w:left w:val="nil"/>
              <w:bottom w:val="single" w:sz="4" w:space="0" w:color="17365D"/>
              <w:right w:val="nil"/>
            </w:tcBorders>
            <w:shd w:val="clear" w:color="auto" w:fill="auto"/>
            <w:vAlign w:val="center"/>
          </w:tcPr>
          <w:p w14:paraId="1B2D5642" w14:textId="33EC3E96"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3552E710" w14:textId="250BA7AA"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4877166C" w14:textId="713AAC1B"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1BA3FD43" w14:textId="023F21D9"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7D37A683" w14:textId="2BE40A7B"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568 521</w:t>
            </w:r>
          </w:p>
        </w:tc>
      </w:tr>
      <w:tr w:rsidR="00D613A6" w:rsidRPr="00D613A6" w14:paraId="0EE4FD5F" w14:textId="77777777" w:rsidTr="00A312B3">
        <w:trPr>
          <w:trHeight w:val="284"/>
        </w:trPr>
        <w:tc>
          <w:tcPr>
            <w:tcW w:w="639" w:type="dxa"/>
            <w:tcBorders>
              <w:top w:val="single" w:sz="4" w:space="0" w:color="17365D"/>
              <w:bottom w:val="nil"/>
              <w:right w:val="nil"/>
            </w:tcBorders>
            <w:shd w:val="clear" w:color="auto" w:fill="auto"/>
            <w:vAlign w:val="center"/>
          </w:tcPr>
          <w:p w14:paraId="3A947562" w14:textId="09E98AA6" w:rsidR="00461526" w:rsidRPr="00D613A6" w:rsidRDefault="00461526" w:rsidP="00461526">
            <w:pPr>
              <w:pStyle w:val="Pamatteksts1"/>
              <w:spacing w:before="40" w:after="40"/>
              <w:ind w:firstLine="0"/>
              <w:jc w:val="left"/>
              <w:rPr>
                <w:color w:val="17365D"/>
                <w:sz w:val="16"/>
                <w:szCs w:val="16"/>
              </w:rPr>
            </w:pPr>
            <w:r w:rsidRPr="00D613A6">
              <w:rPr>
                <w:color w:val="17365D"/>
                <w:sz w:val="16"/>
                <w:szCs w:val="16"/>
              </w:rPr>
              <w:t>NL MP</w:t>
            </w:r>
          </w:p>
        </w:tc>
        <w:tc>
          <w:tcPr>
            <w:tcW w:w="1692" w:type="dxa"/>
            <w:tcBorders>
              <w:top w:val="single" w:sz="4" w:space="0" w:color="17365D"/>
              <w:left w:val="nil"/>
              <w:bottom w:val="nil"/>
              <w:right w:val="nil"/>
            </w:tcBorders>
            <w:shd w:val="clear" w:color="auto" w:fill="auto"/>
            <w:vAlign w:val="center"/>
          </w:tcPr>
          <w:p w14:paraId="6C6810CF" w14:textId="51442376" w:rsidR="00461526" w:rsidRPr="00D613A6" w:rsidRDefault="00461526" w:rsidP="00461526">
            <w:pPr>
              <w:pStyle w:val="Pamatteksts1"/>
              <w:spacing w:before="40" w:after="40"/>
              <w:ind w:firstLine="0"/>
              <w:jc w:val="left"/>
              <w:rPr>
                <w:bCs/>
                <w:color w:val="17365D"/>
                <w:sz w:val="16"/>
                <w:szCs w:val="16"/>
              </w:rPr>
            </w:pPr>
            <w:r w:rsidRPr="00D613A6">
              <w:rPr>
                <w:bCs/>
                <w:color w:val="17365D"/>
                <w:sz w:val="16"/>
                <w:szCs w:val="16"/>
              </w:rPr>
              <w:t xml:space="preserve">Maksas pakalpojumu un citu pašu ieņēmumu naudas </w:t>
            </w:r>
            <w:r w:rsidRPr="00D613A6">
              <w:rPr>
                <w:bCs/>
                <w:color w:val="17365D"/>
                <w:sz w:val="16"/>
                <w:szCs w:val="16"/>
              </w:rPr>
              <w:lastRenderedPageBreak/>
              <w:t>līdzekļu atlikumu izmaiņas (palielinājums (–) vai samazinājums (+))</w:t>
            </w:r>
          </w:p>
        </w:tc>
        <w:tc>
          <w:tcPr>
            <w:tcW w:w="1022" w:type="dxa"/>
            <w:tcBorders>
              <w:top w:val="single" w:sz="4" w:space="0" w:color="17365D"/>
              <w:left w:val="nil"/>
              <w:bottom w:val="nil"/>
              <w:right w:val="nil"/>
            </w:tcBorders>
            <w:shd w:val="clear" w:color="F2F2F2" w:fill="FFFFFF"/>
            <w:vAlign w:val="center"/>
          </w:tcPr>
          <w:p w14:paraId="6F59B7BA" w14:textId="621D4288"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lastRenderedPageBreak/>
              <w:t>1 761 376</w:t>
            </w:r>
          </w:p>
        </w:tc>
        <w:tc>
          <w:tcPr>
            <w:tcW w:w="1022" w:type="dxa"/>
            <w:tcBorders>
              <w:top w:val="single" w:sz="4" w:space="0" w:color="17365D"/>
              <w:left w:val="nil"/>
              <w:bottom w:val="nil"/>
              <w:right w:val="nil"/>
            </w:tcBorders>
            <w:shd w:val="clear" w:color="F2F2F2" w:fill="FFFFFF"/>
            <w:vAlign w:val="center"/>
          </w:tcPr>
          <w:p w14:paraId="5FEA5560" w14:textId="46809957"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2 809 248</w:t>
            </w:r>
          </w:p>
        </w:tc>
        <w:tc>
          <w:tcPr>
            <w:tcW w:w="898" w:type="dxa"/>
            <w:tcBorders>
              <w:top w:val="single" w:sz="4" w:space="0" w:color="17365D"/>
              <w:left w:val="nil"/>
              <w:bottom w:val="nil"/>
              <w:right w:val="nil"/>
            </w:tcBorders>
            <w:shd w:val="clear" w:color="F2F2F2" w:fill="FFFFFF"/>
            <w:vAlign w:val="center"/>
          </w:tcPr>
          <w:p w14:paraId="3BDA38FD" w14:textId="41073DD9"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1 047 872</w:t>
            </w:r>
          </w:p>
        </w:tc>
        <w:tc>
          <w:tcPr>
            <w:tcW w:w="1022" w:type="dxa"/>
            <w:tcBorders>
              <w:top w:val="single" w:sz="4" w:space="0" w:color="17365D"/>
              <w:left w:val="nil"/>
              <w:bottom w:val="nil"/>
              <w:right w:val="nil"/>
            </w:tcBorders>
            <w:shd w:val="clear" w:color="F2F2F2" w:fill="FFFFFF"/>
            <w:vAlign w:val="center"/>
          </w:tcPr>
          <w:p w14:paraId="3DC91814" w14:textId="227E29F1"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358 997</w:t>
            </w:r>
          </w:p>
        </w:tc>
        <w:tc>
          <w:tcPr>
            <w:tcW w:w="1022" w:type="dxa"/>
            <w:tcBorders>
              <w:top w:val="single" w:sz="4" w:space="0" w:color="17365D"/>
              <w:left w:val="nil"/>
              <w:bottom w:val="nil"/>
              <w:right w:val="nil"/>
            </w:tcBorders>
            <w:shd w:val="clear" w:color="F2F2F2" w:fill="FFFFFF"/>
            <w:vAlign w:val="center"/>
          </w:tcPr>
          <w:p w14:paraId="66AD8CC2" w14:textId="0B5F5981"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-1 402 379</w:t>
            </w:r>
          </w:p>
        </w:tc>
        <w:tc>
          <w:tcPr>
            <w:tcW w:w="1022" w:type="dxa"/>
            <w:tcBorders>
              <w:top w:val="single" w:sz="4" w:space="0" w:color="17365D"/>
              <w:left w:val="nil"/>
              <w:bottom w:val="nil"/>
              <w:right w:val="nil"/>
            </w:tcBorders>
            <w:shd w:val="clear" w:color="F2F2F2" w:fill="FFFFFF"/>
            <w:vAlign w:val="center"/>
          </w:tcPr>
          <w:p w14:paraId="2AFDD1FC" w14:textId="6EF4D5FE"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-2 450 251</w:t>
            </w:r>
          </w:p>
        </w:tc>
        <w:tc>
          <w:tcPr>
            <w:tcW w:w="1022" w:type="dxa"/>
            <w:tcBorders>
              <w:top w:val="single" w:sz="4" w:space="0" w:color="17365D"/>
              <w:left w:val="nil"/>
              <w:bottom w:val="nil"/>
              <w:right w:val="nil"/>
            </w:tcBorders>
            <w:shd w:val="clear" w:color="F2F2F2" w:fill="FFFFFF"/>
            <w:vAlign w:val="center"/>
          </w:tcPr>
          <w:p w14:paraId="666D6C6A" w14:textId="59D61A85"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568 521</w:t>
            </w:r>
          </w:p>
        </w:tc>
      </w:tr>
      <w:tr w:rsidR="00D613A6" w:rsidRPr="00D613A6" w14:paraId="736C22B4" w14:textId="77777777" w:rsidTr="00A312B3">
        <w:trPr>
          <w:trHeight w:val="284"/>
        </w:trPr>
        <w:tc>
          <w:tcPr>
            <w:tcW w:w="639" w:type="dxa"/>
            <w:tcBorders>
              <w:top w:val="single" w:sz="4" w:space="0" w:color="17365D"/>
              <w:bottom w:val="nil"/>
              <w:right w:val="nil"/>
            </w:tcBorders>
            <w:shd w:val="clear" w:color="auto" w:fill="auto"/>
            <w:vAlign w:val="center"/>
          </w:tcPr>
          <w:p w14:paraId="4A1B9238" w14:textId="26D40B72" w:rsidR="00236894" w:rsidRPr="00D613A6" w:rsidRDefault="00236894" w:rsidP="00236894">
            <w:pPr>
              <w:pStyle w:val="Pamatteksts1"/>
              <w:spacing w:before="40" w:after="40"/>
              <w:ind w:firstLine="0"/>
              <w:jc w:val="left"/>
              <w:rPr>
                <w:color w:val="17365D"/>
                <w:sz w:val="16"/>
                <w:szCs w:val="16"/>
              </w:rPr>
            </w:pPr>
            <w:r w:rsidRPr="00D613A6">
              <w:rPr>
                <w:color w:val="17365D"/>
                <w:sz w:val="16"/>
                <w:szCs w:val="16"/>
              </w:rPr>
              <w:t>NL AFP</w:t>
            </w:r>
          </w:p>
        </w:tc>
        <w:tc>
          <w:tcPr>
            <w:tcW w:w="1692" w:type="dxa"/>
            <w:tcBorders>
              <w:top w:val="single" w:sz="4" w:space="0" w:color="17365D"/>
              <w:left w:val="nil"/>
              <w:bottom w:val="nil"/>
              <w:right w:val="nil"/>
            </w:tcBorders>
            <w:shd w:val="clear" w:color="auto" w:fill="auto"/>
            <w:vAlign w:val="center"/>
          </w:tcPr>
          <w:p w14:paraId="1EC54AE2" w14:textId="61081A5F" w:rsidR="00236894" w:rsidRPr="00D613A6" w:rsidRDefault="00236894" w:rsidP="00236894">
            <w:pPr>
              <w:pStyle w:val="Pamatteksts1"/>
              <w:spacing w:before="40" w:after="40"/>
              <w:ind w:firstLine="0"/>
              <w:jc w:val="left"/>
              <w:rPr>
                <w:bCs/>
                <w:color w:val="17365D"/>
                <w:sz w:val="16"/>
                <w:szCs w:val="16"/>
              </w:rPr>
            </w:pPr>
            <w:r w:rsidRPr="00D613A6">
              <w:rPr>
                <w:bCs/>
                <w:color w:val="17365D"/>
                <w:sz w:val="16"/>
                <w:szCs w:val="16"/>
              </w:rPr>
              <w:t>Ārvalstu finanšu palīdzības naudas līdzekļu atlikumu izmaiņas (palielinājums (–) vai samazinājums (+))</w:t>
            </w:r>
          </w:p>
        </w:tc>
        <w:tc>
          <w:tcPr>
            <w:tcW w:w="1022" w:type="dxa"/>
            <w:tcBorders>
              <w:top w:val="single" w:sz="4" w:space="0" w:color="17365D"/>
              <w:left w:val="nil"/>
              <w:bottom w:val="nil"/>
              <w:right w:val="nil"/>
            </w:tcBorders>
            <w:shd w:val="clear" w:color="F2F2F2" w:fill="FFFFFF"/>
            <w:vAlign w:val="center"/>
          </w:tcPr>
          <w:p w14:paraId="11D68018" w14:textId="1DEFB7E8"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6CFCD0D6" w14:textId="106F0C3C"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898" w:type="dxa"/>
            <w:tcBorders>
              <w:top w:val="single" w:sz="4" w:space="0" w:color="17365D"/>
              <w:left w:val="nil"/>
              <w:bottom w:val="nil"/>
              <w:right w:val="nil"/>
            </w:tcBorders>
            <w:shd w:val="clear" w:color="F2F2F2" w:fill="FFFFFF"/>
            <w:vAlign w:val="center"/>
          </w:tcPr>
          <w:p w14:paraId="39E4A3D2" w14:textId="0F35222E"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nil"/>
              <w:right w:val="nil"/>
            </w:tcBorders>
            <w:shd w:val="clear" w:color="F2F2F2" w:fill="FFFFFF"/>
            <w:vAlign w:val="center"/>
          </w:tcPr>
          <w:p w14:paraId="136D6F5B" w14:textId="046D0406"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nil"/>
              <w:right w:val="nil"/>
            </w:tcBorders>
            <w:shd w:val="clear" w:color="F2F2F2" w:fill="FFFFFF"/>
            <w:vAlign w:val="center"/>
          </w:tcPr>
          <w:p w14:paraId="6855B525" w14:textId="65400E54"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3B134A66" w14:textId="6572968A"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6E19EB7E" w14:textId="780606CB"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r>
      <w:tr w:rsidR="00D613A6" w:rsidRPr="00D613A6" w14:paraId="64C9AAB2" w14:textId="77777777" w:rsidTr="00A312B3">
        <w:trPr>
          <w:trHeight w:val="92"/>
        </w:trPr>
        <w:tc>
          <w:tcPr>
            <w:tcW w:w="639" w:type="dxa"/>
            <w:tcBorders>
              <w:top w:val="nil"/>
              <w:bottom w:val="nil"/>
            </w:tcBorders>
            <w:shd w:val="clear" w:color="auto" w:fill="B9CDE5"/>
            <w:vAlign w:val="center"/>
          </w:tcPr>
          <w:p w14:paraId="0E57B167" w14:textId="77777777" w:rsidR="00467DFA" w:rsidRPr="00D613A6" w:rsidRDefault="00467DFA" w:rsidP="00EA3761">
            <w:pPr>
              <w:pStyle w:val="Pamatteksts1"/>
              <w:spacing w:before="40" w:after="40"/>
              <w:ind w:firstLine="0"/>
              <w:jc w:val="left"/>
              <w:rPr>
                <w:color w:val="17365D"/>
                <w:sz w:val="16"/>
                <w:szCs w:val="16"/>
              </w:rPr>
            </w:pPr>
          </w:p>
        </w:tc>
        <w:tc>
          <w:tcPr>
            <w:tcW w:w="1692" w:type="dxa"/>
            <w:tcBorders>
              <w:top w:val="nil"/>
              <w:bottom w:val="nil"/>
            </w:tcBorders>
            <w:shd w:val="clear" w:color="auto" w:fill="B9CDE5"/>
            <w:vAlign w:val="center"/>
          </w:tcPr>
          <w:p w14:paraId="553D82B3" w14:textId="77777777" w:rsidR="00467DFA" w:rsidRPr="00D613A6" w:rsidRDefault="00467DFA" w:rsidP="00EA3761">
            <w:pPr>
              <w:pStyle w:val="Pamatteksts1"/>
              <w:spacing w:before="40" w:after="40"/>
              <w:ind w:firstLine="0"/>
              <w:jc w:val="left"/>
              <w:rPr>
                <w:bCs/>
                <w:color w:val="17365D"/>
                <w:sz w:val="16"/>
                <w:szCs w:val="16"/>
              </w:rPr>
            </w:pPr>
          </w:p>
        </w:tc>
        <w:tc>
          <w:tcPr>
            <w:tcW w:w="1022" w:type="dxa"/>
            <w:tcBorders>
              <w:top w:val="nil"/>
              <w:bottom w:val="nil"/>
            </w:tcBorders>
            <w:shd w:val="clear" w:color="auto" w:fill="B9CDE5"/>
            <w:vAlign w:val="center"/>
          </w:tcPr>
          <w:p w14:paraId="33CBF567"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32924B3B" w14:textId="77777777" w:rsidR="00467DFA" w:rsidRPr="00D613A6" w:rsidRDefault="00467DFA" w:rsidP="00EA3761">
            <w:pPr>
              <w:pStyle w:val="Pamatteksts1"/>
              <w:spacing w:before="40" w:after="40"/>
              <w:ind w:firstLine="0"/>
              <w:jc w:val="right"/>
              <w:rPr>
                <w:bCs/>
                <w:color w:val="17365D"/>
                <w:sz w:val="16"/>
                <w:szCs w:val="16"/>
              </w:rPr>
            </w:pPr>
          </w:p>
        </w:tc>
        <w:tc>
          <w:tcPr>
            <w:tcW w:w="898" w:type="dxa"/>
            <w:tcBorders>
              <w:top w:val="nil"/>
              <w:bottom w:val="nil"/>
            </w:tcBorders>
            <w:shd w:val="clear" w:color="auto" w:fill="B9CDE5"/>
            <w:vAlign w:val="center"/>
          </w:tcPr>
          <w:p w14:paraId="315CF5F8"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5654F546"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14525187"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350E6C61"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056091E5" w14:textId="77777777" w:rsidR="00467DFA" w:rsidRPr="00D613A6" w:rsidRDefault="00467DFA" w:rsidP="00EA3761">
            <w:pPr>
              <w:pStyle w:val="Pamatteksts1"/>
              <w:spacing w:before="40" w:after="40"/>
              <w:ind w:firstLine="0"/>
              <w:jc w:val="right"/>
              <w:rPr>
                <w:bCs/>
                <w:color w:val="17365D"/>
                <w:sz w:val="16"/>
                <w:szCs w:val="16"/>
              </w:rPr>
            </w:pPr>
          </w:p>
        </w:tc>
      </w:tr>
    </w:tbl>
    <w:p w14:paraId="6A073146" w14:textId="0D2AD59F" w:rsidR="00D5761A" w:rsidRPr="00D613A6" w:rsidRDefault="00D5761A" w:rsidP="005F5F71">
      <w:pPr>
        <w:pStyle w:val="Heading1"/>
        <w:spacing w:after="240"/>
        <w:rPr>
          <w:rFonts w:cs="Times New Roman"/>
          <w:noProof w:val="0"/>
          <w:color w:val="17365D"/>
        </w:rPr>
      </w:pPr>
      <w:r w:rsidRPr="00D613A6">
        <w:rPr>
          <w:rFonts w:cs="Times New Roman"/>
          <w:noProof w:val="0"/>
          <w:color w:val="17365D"/>
        </w:rPr>
        <w:t>Konsolidācija</w:t>
      </w:r>
    </w:p>
    <w:p w14:paraId="30FA3966" w14:textId="14D1E959" w:rsidR="00D5761A" w:rsidRPr="00D613A6" w:rsidRDefault="001B4216" w:rsidP="005F5F71">
      <w:pPr>
        <w:pStyle w:val="Pamatteksts1"/>
        <w:spacing w:after="240"/>
        <w:rPr>
          <w:noProof w:val="0"/>
          <w:color w:val="17365D"/>
        </w:rPr>
      </w:pPr>
      <w:r w:rsidRPr="00D613A6">
        <w:rPr>
          <w:noProof w:val="0"/>
          <w:color w:val="17365D"/>
        </w:rPr>
        <w:t>Pārskatā konsolidēti</w:t>
      </w:r>
      <w:r w:rsidR="00D5761A" w:rsidRPr="00D613A6">
        <w:rPr>
          <w:noProof w:val="0"/>
          <w:color w:val="17365D"/>
        </w:rPr>
        <w:t xml:space="preserve"> dati</w:t>
      </w:r>
      <w:r w:rsidR="00A4300B" w:rsidRPr="00D613A6">
        <w:rPr>
          <w:noProof w:val="0"/>
          <w:color w:val="17365D"/>
        </w:rPr>
        <w:t xml:space="preserve"> </w:t>
      </w:r>
      <w:r w:rsidR="00F21EDC" w:rsidRPr="00D613A6">
        <w:rPr>
          <w:noProof w:val="0"/>
          <w:color w:val="17365D"/>
        </w:rPr>
        <w:t>pa budžeta veidiem</w:t>
      </w:r>
      <w:r w:rsidR="00A4300B" w:rsidRPr="00D613A6">
        <w:rPr>
          <w:noProof w:val="0"/>
          <w:color w:val="17365D"/>
        </w:rPr>
        <w:t xml:space="preserve"> (pamatbudžets, speciālais budžets, ziedojumi un dāvinājumi) un starp</w:t>
      </w:r>
      <w:r w:rsidR="00D5761A" w:rsidRPr="00D613A6">
        <w:rPr>
          <w:noProof w:val="0"/>
          <w:color w:val="17365D"/>
        </w:rPr>
        <w:t xml:space="preserve"> </w:t>
      </w:r>
      <w:r w:rsidR="00A4300B" w:rsidRPr="00D613A6">
        <w:rPr>
          <w:noProof w:val="0"/>
          <w:color w:val="17365D"/>
        </w:rPr>
        <w:t>šiem b</w:t>
      </w:r>
      <w:r w:rsidR="00D5761A" w:rsidRPr="00D613A6">
        <w:rPr>
          <w:noProof w:val="0"/>
          <w:color w:val="17365D"/>
        </w:rPr>
        <w:t>udžeta veidiem.</w:t>
      </w:r>
    </w:p>
    <w:p w14:paraId="0A78D846" w14:textId="2F51DAB0" w:rsidR="00D5761A" w:rsidRPr="00D613A6" w:rsidRDefault="00D5761A" w:rsidP="005F5F71">
      <w:pPr>
        <w:pStyle w:val="Pamatteksts1"/>
        <w:spacing w:after="240"/>
        <w:rPr>
          <w:noProof w:val="0"/>
          <w:color w:val="17365D"/>
        </w:rPr>
      </w:pPr>
      <w:r w:rsidRPr="00D613A6">
        <w:rPr>
          <w:noProof w:val="0"/>
          <w:color w:val="17365D"/>
        </w:rPr>
        <w:t xml:space="preserve">Konsolidāciju veic, summējot visus pārskatos uzrādītos rādītājus un izslēdzot savstarpēji atbilstošus ieņēmumu un izdevumu posteņus, pilnībā konsolidē </w:t>
      </w:r>
      <w:r w:rsidR="002A18FF" w:rsidRPr="00D613A6">
        <w:rPr>
          <w:noProof w:val="0"/>
          <w:color w:val="17365D"/>
        </w:rPr>
        <w:t xml:space="preserve">izdevumu un </w:t>
      </w:r>
      <w:r w:rsidRPr="00D613A6">
        <w:rPr>
          <w:noProof w:val="0"/>
          <w:color w:val="17365D"/>
        </w:rPr>
        <w:t>ieņēmumu transfertu savstarpēj</w:t>
      </w:r>
      <w:r w:rsidR="005E0D64" w:rsidRPr="00D613A6">
        <w:rPr>
          <w:noProof w:val="0"/>
          <w:color w:val="17365D"/>
        </w:rPr>
        <w:t>os</w:t>
      </w:r>
      <w:r w:rsidRPr="00D613A6">
        <w:rPr>
          <w:noProof w:val="0"/>
          <w:color w:val="17365D"/>
        </w:rPr>
        <w:t xml:space="preserve"> darījum</w:t>
      </w:r>
      <w:r w:rsidR="005E0D64" w:rsidRPr="00D613A6">
        <w:rPr>
          <w:noProof w:val="0"/>
          <w:color w:val="17365D"/>
        </w:rPr>
        <w:t>us</w:t>
      </w:r>
      <w:r w:rsidRPr="00D613A6">
        <w:rPr>
          <w:noProof w:val="0"/>
          <w:color w:val="17365D"/>
        </w:rPr>
        <w:t>.</w:t>
      </w:r>
    </w:p>
    <w:p w14:paraId="265E3CF6" w14:textId="4A7C5AC8" w:rsidR="00465888" w:rsidRPr="00D613A6" w:rsidRDefault="00465888" w:rsidP="00465888">
      <w:pPr>
        <w:pStyle w:val="Pamatteksts1"/>
        <w:rPr>
          <w:noProof w:val="0"/>
          <w:color w:val="17365D"/>
        </w:rPr>
      </w:pPr>
      <w:r w:rsidRPr="00D613A6">
        <w:rPr>
          <w:noProof w:val="0"/>
          <w:color w:val="17365D"/>
          <w:u w:val="single"/>
        </w:rPr>
        <w:t>Valsts konsolidētajā budžetā</w:t>
      </w:r>
      <w:r w:rsidRPr="00D613A6">
        <w:rPr>
          <w:noProof w:val="0"/>
          <w:color w:val="17365D"/>
        </w:rPr>
        <w:t xml:space="preserve">, konsolidējot </w:t>
      </w:r>
      <w:r w:rsidR="000767D1" w:rsidRPr="00D613A6">
        <w:rPr>
          <w:noProof w:val="0"/>
          <w:color w:val="17365D"/>
        </w:rPr>
        <w:t>starp</w:t>
      </w:r>
      <w:r w:rsidRPr="00D613A6">
        <w:rPr>
          <w:noProof w:val="0"/>
          <w:color w:val="17365D"/>
        </w:rPr>
        <w:t>budžetu (pamatbudžetu, speciālo budžetu, ziedojumus un dāvinājumus, un no valsts budžeta daļēji finansētu atvasinātu publisku personu un bud</w:t>
      </w:r>
      <w:r w:rsidR="00FD1754" w:rsidRPr="00D613A6">
        <w:rPr>
          <w:noProof w:val="0"/>
          <w:color w:val="17365D"/>
        </w:rPr>
        <w:t>žeta nefinansētu iestāžu pamat</w:t>
      </w:r>
      <w:r w:rsidR="00075DD5" w:rsidRPr="00D613A6">
        <w:rPr>
          <w:noProof w:val="0"/>
          <w:color w:val="17365D"/>
        </w:rPr>
        <w:t>darbību</w:t>
      </w:r>
      <w:r w:rsidR="006928AC" w:rsidRPr="00D613A6">
        <w:rPr>
          <w:noProof w:val="0"/>
          <w:color w:val="17365D"/>
        </w:rPr>
        <w:t xml:space="preserve"> un citus budžetus</w:t>
      </w:r>
      <w:r w:rsidRPr="00D613A6">
        <w:rPr>
          <w:noProof w:val="0"/>
          <w:color w:val="17365D"/>
        </w:rPr>
        <w:t>)</w:t>
      </w:r>
      <w:r w:rsidR="000767D1" w:rsidRPr="00D613A6">
        <w:rPr>
          <w:noProof w:val="0"/>
          <w:color w:val="17365D"/>
        </w:rPr>
        <w:t xml:space="preserve"> darījumus</w:t>
      </w:r>
      <w:r w:rsidRPr="00D613A6">
        <w:rPr>
          <w:noProof w:val="0"/>
          <w:color w:val="17365D"/>
        </w:rPr>
        <w:t>, izslēgtas šādas pozīcijas:</w:t>
      </w:r>
      <w:r w:rsidRPr="00D613A6">
        <w:rPr>
          <w:color w:val="17365D"/>
          <w:sz w:val="20"/>
          <w:szCs w:val="20"/>
        </w:rPr>
        <w:t xml:space="preserve"> </w:t>
      </w:r>
    </w:p>
    <w:p w14:paraId="08557439" w14:textId="6AFB338A" w:rsidR="00465888" w:rsidRPr="00D613A6" w:rsidRDefault="00465888" w:rsidP="00465888">
      <w:pPr>
        <w:pStyle w:val="Pamatteksts1"/>
        <w:rPr>
          <w:noProof w:val="0"/>
          <w:color w:val="17365D"/>
        </w:rPr>
      </w:pPr>
      <w:r w:rsidRPr="00D613A6">
        <w:rPr>
          <w:b/>
          <w:noProof w:val="0"/>
          <w:color w:val="17365D"/>
        </w:rPr>
        <w:t xml:space="preserve">Ieņēmumi/izdevumi – </w:t>
      </w:r>
      <w:r w:rsidR="00C27116" w:rsidRPr="00D613A6">
        <w:rPr>
          <w:b/>
          <w:noProof w:val="0"/>
          <w:color w:val="17365D"/>
        </w:rPr>
        <w:t>736</w:t>
      </w:r>
      <w:r w:rsidR="009C3FA5" w:rsidRPr="00D613A6">
        <w:rPr>
          <w:b/>
          <w:noProof w:val="0"/>
          <w:color w:val="17365D"/>
        </w:rPr>
        <w:t xml:space="preserve"> </w:t>
      </w:r>
      <w:r w:rsidR="00C27116" w:rsidRPr="00D613A6">
        <w:rPr>
          <w:b/>
          <w:noProof w:val="0"/>
          <w:color w:val="17365D"/>
        </w:rPr>
        <w:t>939</w:t>
      </w:r>
      <w:r w:rsidR="009C3FA5" w:rsidRPr="00D613A6">
        <w:rPr>
          <w:b/>
          <w:noProof w:val="0"/>
          <w:color w:val="17365D"/>
        </w:rPr>
        <w:t xml:space="preserve"> </w:t>
      </w:r>
      <w:r w:rsidR="00C27116" w:rsidRPr="00D613A6">
        <w:rPr>
          <w:b/>
          <w:noProof w:val="0"/>
          <w:color w:val="17365D"/>
        </w:rPr>
        <w:t>408</w:t>
      </w:r>
      <w:r w:rsidR="009C3FA5" w:rsidRPr="00D613A6">
        <w:rPr>
          <w:b/>
          <w:noProof w:val="0"/>
          <w:color w:val="17365D"/>
        </w:rPr>
        <w:t xml:space="preserve"> </w:t>
      </w:r>
      <w:r w:rsidRPr="00D613A6">
        <w:rPr>
          <w:b/>
          <w:i/>
          <w:noProof w:val="0"/>
          <w:color w:val="17365D"/>
        </w:rPr>
        <w:t>euro</w:t>
      </w:r>
      <w:r w:rsidRPr="00D613A6">
        <w:rPr>
          <w:b/>
          <w:noProof w:val="0"/>
          <w:color w:val="17365D"/>
        </w:rPr>
        <w:t xml:space="preserve"> vērtībā</w:t>
      </w:r>
      <w:r w:rsidRPr="00D613A6">
        <w:rPr>
          <w:noProof w:val="0"/>
          <w:color w:val="17365D"/>
        </w:rPr>
        <w:t>, t.sk.:</w:t>
      </w:r>
      <w:r w:rsidRPr="00D613A6">
        <w:rPr>
          <w:b/>
          <w:noProof w:val="0"/>
          <w:color w:val="17365D"/>
          <w:lang w:eastAsia="en-US"/>
        </w:rPr>
        <w:t xml:space="preserve"> </w:t>
      </w:r>
    </w:p>
    <w:p w14:paraId="495EF85B" w14:textId="56A7CE38" w:rsidR="00465888" w:rsidRPr="00D613A6" w:rsidRDefault="00465888" w:rsidP="008750F0">
      <w:pPr>
        <w:pStyle w:val="Bullets"/>
        <w:numPr>
          <w:ilvl w:val="0"/>
          <w:numId w:val="7"/>
        </w:numPr>
        <w:ind w:left="993" w:hanging="426"/>
        <w:rPr>
          <w:noProof w:val="0"/>
          <w:color w:val="17365D"/>
        </w:rPr>
      </w:pPr>
      <w:r w:rsidRPr="00D613A6">
        <w:rPr>
          <w:noProof w:val="0"/>
          <w:color w:val="17365D"/>
        </w:rPr>
        <w:t>pakalpojumu izdevumi (</w:t>
      </w:r>
      <w:r w:rsidR="001907AD" w:rsidRPr="00D613A6">
        <w:rPr>
          <w:noProof w:val="0"/>
          <w:color w:val="17365D"/>
        </w:rPr>
        <w:t>izdevumu EKK 2200, ieņēmumu kods</w:t>
      </w:r>
      <w:r w:rsidRPr="00D613A6">
        <w:rPr>
          <w:noProof w:val="0"/>
          <w:color w:val="17365D"/>
        </w:rPr>
        <w:t xml:space="preserve"> </w:t>
      </w:r>
      <w:r w:rsidR="00820517" w:rsidRPr="00D613A6">
        <w:rPr>
          <w:noProof w:val="0"/>
          <w:color w:val="17365D"/>
        </w:rPr>
        <w:t>8</w:t>
      </w:r>
      <w:r w:rsidRPr="00D613A6">
        <w:rPr>
          <w:noProof w:val="0"/>
          <w:color w:val="17365D"/>
        </w:rPr>
        <w:t>.</w:t>
      </w:r>
      <w:r w:rsidR="00820517" w:rsidRPr="00D613A6">
        <w:rPr>
          <w:noProof w:val="0"/>
          <w:color w:val="17365D"/>
        </w:rPr>
        <w:t>4</w:t>
      </w:r>
      <w:r w:rsidRPr="00D613A6">
        <w:rPr>
          <w:noProof w:val="0"/>
          <w:color w:val="17365D"/>
        </w:rPr>
        <w:t xml:space="preserve">.0.0.) – </w:t>
      </w:r>
      <w:r w:rsidR="00C27116" w:rsidRPr="00D613A6">
        <w:rPr>
          <w:noProof w:val="0"/>
          <w:color w:val="17365D"/>
        </w:rPr>
        <w:t>48</w:t>
      </w:r>
      <w:r w:rsidR="00716655" w:rsidRPr="00D613A6">
        <w:rPr>
          <w:noProof w:val="0"/>
          <w:color w:val="17365D"/>
        </w:rPr>
        <w:t> </w:t>
      </w:r>
      <w:r w:rsidR="00C27116" w:rsidRPr="00D613A6">
        <w:rPr>
          <w:noProof w:val="0"/>
          <w:color w:val="17365D"/>
        </w:rPr>
        <w:t>834</w:t>
      </w:r>
      <w:r w:rsidR="00C1163C" w:rsidRPr="00D613A6">
        <w:rPr>
          <w:noProof w:val="0"/>
          <w:color w:val="17365D"/>
        </w:rPr>
        <w:t> </w:t>
      </w:r>
      <w:r w:rsidR="00C1163C" w:rsidRPr="00D613A6">
        <w:rPr>
          <w:i/>
          <w:noProof w:val="0"/>
          <w:color w:val="17365D"/>
        </w:rPr>
        <w:t>e</w:t>
      </w:r>
      <w:r w:rsidRPr="00D613A6">
        <w:rPr>
          <w:i/>
          <w:noProof w:val="0"/>
          <w:color w:val="17365D"/>
        </w:rPr>
        <w:t>uro</w:t>
      </w:r>
      <w:r w:rsidRPr="00D613A6">
        <w:rPr>
          <w:noProof w:val="0"/>
          <w:color w:val="17365D"/>
        </w:rPr>
        <w:t xml:space="preserve"> vērtībā;</w:t>
      </w:r>
    </w:p>
    <w:p w14:paraId="21667E2C" w14:textId="6FDB2547" w:rsidR="00465888" w:rsidRPr="00D613A6" w:rsidRDefault="00465888" w:rsidP="008750F0">
      <w:pPr>
        <w:pStyle w:val="Bullets"/>
        <w:numPr>
          <w:ilvl w:val="0"/>
          <w:numId w:val="7"/>
        </w:numPr>
        <w:ind w:left="993" w:hanging="426"/>
        <w:rPr>
          <w:noProof w:val="0"/>
          <w:color w:val="17365D"/>
        </w:rPr>
      </w:pPr>
      <w:r w:rsidRPr="00D613A6">
        <w:rPr>
          <w:noProof w:val="0"/>
          <w:color w:val="17365D"/>
        </w:rPr>
        <w:t>procentu izdevumi (izdevumu EKK 4300, ieņēmumu kodi 8.4.0.0. un 2</w:t>
      </w:r>
      <w:r w:rsidR="00820517" w:rsidRPr="00D613A6">
        <w:rPr>
          <w:noProof w:val="0"/>
          <w:color w:val="17365D"/>
        </w:rPr>
        <w:t>2</w:t>
      </w:r>
      <w:r w:rsidRPr="00D613A6">
        <w:rPr>
          <w:noProof w:val="0"/>
          <w:color w:val="17365D"/>
        </w:rPr>
        <w:t>.</w:t>
      </w:r>
      <w:r w:rsidR="00820517" w:rsidRPr="00D613A6">
        <w:rPr>
          <w:noProof w:val="0"/>
          <w:color w:val="17365D"/>
        </w:rPr>
        <w:t>6</w:t>
      </w:r>
      <w:r w:rsidRPr="00D613A6">
        <w:rPr>
          <w:noProof w:val="0"/>
          <w:color w:val="17365D"/>
        </w:rPr>
        <w:t xml:space="preserve">.0.0.) – </w:t>
      </w:r>
      <w:r w:rsidR="00C27116" w:rsidRPr="00D613A6">
        <w:rPr>
          <w:noProof w:val="0"/>
          <w:color w:val="17365D"/>
        </w:rPr>
        <w:t>13</w:t>
      </w:r>
      <w:r w:rsidR="00716655" w:rsidRPr="00D613A6">
        <w:rPr>
          <w:noProof w:val="0"/>
          <w:color w:val="17365D"/>
        </w:rPr>
        <w:t> </w:t>
      </w:r>
      <w:r w:rsidR="00C53B63" w:rsidRPr="00D613A6">
        <w:rPr>
          <w:noProof w:val="0"/>
          <w:color w:val="17365D"/>
        </w:rPr>
        <w:t>1</w:t>
      </w:r>
      <w:r w:rsidR="00C27116" w:rsidRPr="00D613A6">
        <w:rPr>
          <w:noProof w:val="0"/>
          <w:color w:val="17365D"/>
        </w:rPr>
        <w:t>62</w:t>
      </w:r>
      <w:r w:rsidR="00716655" w:rsidRPr="00D613A6">
        <w:rPr>
          <w:noProof w:val="0"/>
          <w:color w:val="17365D"/>
        </w:rPr>
        <w:t> </w:t>
      </w:r>
      <w:r w:rsidR="00C27116" w:rsidRPr="00D613A6">
        <w:rPr>
          <w:noProof w:val="0"/>
          <w:color w:val="17365D"/>
        </w:rPr>
        <w:t>048</w:t>
      </w:r>
      <w:r w:rsidR="00716655" w:rsidRPr="00D613A6">
        <w:rPr>
          <w:noProof w:val="0"/>
          <w:color w:val="17365D"/>
        </w:rPr>
        <w:t> </w:t>
      </w:r>
      <w:r w:rsidRPr="00D613A6">
        <w:rPr>
          <w:i/>
          <w:noProof w:val="0"/>
          <w:color w:val="17365D"/>
        </w:rPr>
        <w:t>euro</w:t>
      </w:r>
      <w:r w:rsidRPr="00D613A6">
        <w:rPr>
          <w:noProof w:val="0"/>
          <w:color w:val="17365D"/>
        </w:rPr>
        <w:t xml:space="preserve"> vērtībā;</w:t>
      </w:r>
    </w:p>
    <w:p w14:paraId="392A6696" w14:textId="32CC638C" w:rsidR="00012F5B" w:rsidRPr="00D613A6" w:rsidRDefault="00465888" w:rsidP="008750F0">
      <w:pPr>
        <w:pStyle w:val="Bullets"/>
        <w:numPr>
          <w:ilvl w:val="0"/>
          <w:numId w:val="7"/>
        </w:numPr>
        <w:ind w:left="993" w:hanging="426"/>
        <w:rPr>
          <w:color w:val="17365D"/>
        </w:rPr>
      </w:pPr>
      <w:r w:rsidRPr="00D613A6">
        <w:rPr>
          <w:noProof w:val="0"/>
          <w:color w:val="17365D"/>
        </w:rPr>
        <w:t>valsts budžeta uzturēšanas izdevumu transferti (izdevumu EKK 7100, ieņēmumu kodi 18.2.0.0. un 18.</w:t>
      </w:r>
      <w:r w:rsidR="00820517" w:rsidRPr="00D613A6">
        <w:rPr>
          <w:noProof w:val="0"/>
          <w:color w:val="17365D"/>
        </w:rPr>
        <w:t>4</w:t>
      </w:r>
      <w:r w:rsidRPr="00D613A6">
        <w:rPr>
          <w:noProof w:val="0"/>
          <w:color w:val="17365D"/>
        </w:rPr>
        <w:t>.0.0.)</w:t>
      </w:r>
      <w:r w:rsidRPr="00D613A6">
        <w:rPr>
          <w:color w:val="17365D"/>
        </w:rPr>
        <w:t xml:space="preserve"> – </w:t>
      </w:r>
      <w:r w:rsidR="00012F5B" w:rsidRPr="00D613A6">
        <w:rPr>
          <w:noProof w:val="0"/>
          <w:color w:val="17365D"/>
        </w:rPr>
        <w:t>2</w:t>
      </w:r>
      <w:r w:rsidR="00C27116" w:rsidRPr="00D613A6">
        <w:rPr>
          <w:noProof w:val="0"/>
          <w:color w:val="17365D"/>
        </w:rPr>
        <w:t>86</w:t>
      </w:r>
      <w:r w:rsidR="00063747" w:rsidRPr="00D613A6">
        <w:rPr>
          <w:noProof w:val="0"/>
          <w:color w:val="17365D"/>
        </w:rPr>
        <w:t> </w:t>
      </w:r>
      <w:r w:rsidR="00C27116" w:rsidRPr="00D613A6">
        <w:rPr>
          <w:noProof w:val="0"/>
          <w:color w:val="17365D"/>
        </w:rPr>
        <w:t>584</w:t>
      </w:r>
      <w:r w:rsidR="00012F5B" w:rsidRPr="00D613A6">
        <w:rPr>
          <w:noProof w:val="0"/>
          <w:color w:val="17365D"/>
        </w:rPr>
        <w:t> </w:t>
      </w:r>
      <w:r w:rsidR="00C27116" w:rsidRPr="00D613A6">
        <w:rPr>
          <w:noProof w:val="0"/>
          <w:color w:val="17365D"/>
        </w:rPr>
        <w:t>277</w:t>
      </w:r>
      <w:r w:rsidR="00A23A85" w:rsidRPr="00D613A6">
        <w:rPr>
          <w:i/>
          <w:noProof w:val="0"/>
          <w:color w:val="17365D"/>
        </w:rPr>
        <w:t xml:space="preserve"> euro</w:t>
      </w:r>
      <w:r w:rsidR="00A23A85" w:rsidRPr="00D613A6">
        <w:rPr>
          <w:noProof w:val="0"/>
          <w:color w:val="17365D"/>
        </w:rPr>
        <w:t xml:space="preserve"> vērtībā;</w:t>
      </w:r>
    </w:p>
    <w:p w14:paraId="5263590F" w14:textId="3D0127D1" w:rsidR="00465888" w:rsidRPr="00D613A6" w:rsidRDefault="00465888" w:rsidP="008750F0">
      <w:pPr>
        <w:pStyle w:val="Bullets"/>
        <w:numPr>
          <w:ilvl w:val="0"/>
          <w:numId w:val="7"/>
        </w:numPr>
        <w:ind w:left="993" w:hanging="426"/>
        <w:rPr>
          <w:color w:val="17365D"/>
        </w:rPr>
      </w:pPr>
      <w:r w:rsidRPr="00D613A6">
        <w:rPr>
          <w:noProof w:val="0"/>
          <w:color w:val="17365D"/>
        </w:rPr>
        <w:t>transferti citiem budžetiem noteiktam mērķim (izdevumu EKK 7300, ieņēmumu kods 18.3.0.0.)</w:t>
      </w:r>
      <w:r w:rsidRPr="00D613A6">
        <w:rPr>
          <w:color w:val="17365D"/>
        </w:rPr>
        <w:t xml:space="preserve"> – </w:t>
      </w:r>
      <w:r w:rsidR="00C27116" w:rsidRPr="00D613A6">
        <w:rPr>
          <w:noProof w:val="0"/>
          <w:color w:val="17365D"/>
        </w:rPr>
        <w:t>75</w:t>
      </w:r>
      <w:r w:rsidR="00063747" w:rsidRPr="00D613A6">
        <w:rPr>
          <w:noProof w:val="0"/>
          <w:color w:val="17365D"/>
        </w:rPr>
        <w:t> </w:t>
      </w:r>
      <w:r w:rsidR="00C27116" w:rsidRPr="00D613A6">
        <w:rPr>
          <w:noProof w:val="0"/>
          <w:color w:val="17365D"/>
        </w:rPr>
        <w:t>255</w:t>
      </w:r>
      <w:r w:rsidR="00063747" w:rsidRPr="00D613A6">
        <w:rPr>
          <w:noProof w:val="0"/>
          <w:color w:val="17365D"/>
        </w:rPr>
        <w:t> </w:t>
      </w:r>
      <w:r w:rsidR="00C27116" w:rsidRPr="00D613A6">
        <w:rPr>
          <w:noProof w:val="0"/>
          <w:color w:val="17365D"/>
        </w:rPr>
        <w:t>937</w:t>
      </w:r>
      <w:r w:rsidR="00063747"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485C885D" w14:textId="38A925DA" w:rsidR="00465888" w:rsidRPr="00D613A6" w:rsidRDefault="00465888" w:rsidP="008750F0">
      <w:pPr>
        <w:pStyle w:val="Bullets"/>
        <w:numPr>
          <w:ilvl w:val="0"/>
          <w:numId w:val="7"/>
        </w:numPr>
        <w:ind w:left="993" w:hanging="426"/>
        <w:rPr>
          <w:color w:val="17365D"/>
        </w:rPr>
      </w:pPr>
      <w:r w:rsidRPr="00D613A6">
        <w:rPr>
          <w:noProof w:val="0"/>
          <w:color w:val="17365D"/>
        </w:rPr>
        <w:t xml:space="preserve">pārējie valsts budžeta uzturēšanas izdevumu transferti citiem budžetiem (izdevumu EKK 7400, ieņēmumu kods 18.3.0.0.) </w:t>
      </w:r>
      <w:r w:rsidRPr="00D613A6">
        <w:rPr>
          <w:color w:val="17365D"/>
        </w:rPr>
        <w:t xml:space="preserve">– </w:t>
      </w:r>
      <w:r w:rsidR="00C27116" w:rsidRPr="00D613A6">
        <w:rPr>
          <w:noProof w:val="0"/>
          <w:color w:val="17365D"/>
        </w:rPr>
        <w:t>337</w:t>
      </w:r>
      <w:r w:rsidR="00716655" w:rsidRPr="00D613A6">
        <w:rPr>
          <w:noProof w:val="0"/>
          <w:color w:val="17365D"/>
        </w:rPr>
        <w:t> </w:t>
      </w:r>
      <w:r w:rsidR="0042624D" w:rsidRPr="00D613A6">
        <w:rPr>
          <w:noProof w:val="0"/>
          <w:color w:val="17365D"/>
        </w:rPr>
        <w:t>744 </w:t>
      </w:r>
      <w:r w:rsidR="00C27116" w:rsidRPr="00D613A6">
        <w:rPr>
          <w:noProof w:val="0"/>
          <w:color w:val="17365D"/>
        </w:rPr>
        <w:t>531</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06C1B8EE" w14:textId="5416E9CB" w:rsidR="00465888" w:rsidRPr="00D613A6" w:rsidRDefault="00465888" w:rsidP="008750F0">
      <w:pPr>
        <w:pStyle w:val="Bullets"/>
        <w:numPr>
          <w:ilvl w:val="0"/>
          <w:numId w:val="7"/>
        </w:numPr>
        <w:ind w:left="993" w:hanging="426"/>
        <w:rPr>
          <w:color w:val="17365D"/>
        </w:rPr>
      </w:pPr>
      <w:r w:rsidRPr="00D613A6">
        <w:rPr>
          <w:noProof w:val="0"/>
          <w:color w:val="17365D"/>
        </w:rPr>
        <w:t>no valsts budžeta daļēji finansētu atvasinātu publisku personu un budžeta nefinansētu iestāžu uzturēšanas izdevumu transferti (izdevumu EKK 7800, ieņēmumu kodi 12.3.0.0., 17.1.0.0. un 17.4.0.0.)</w:t>
      </w:r>
      <w:r w:rsidRPr="00D613A6">
        <w:rPr>
          <w:color w:val="17365D"/>
        </w:rPr>
        <w:t xml:space="preserve"> –</w:t>
      </w:r>
      <w:r w:rsidR="00716655" w:rsidRPr="00D613A6">
        <w:rPr>
          <w:noProof w:val="0"/>
          <w:color w:val="17365D"/>
        </w:rPr>
        <w:t> </w:t>
      </w:r>
      <w:r w:rsidR="00C27116" w:rsidRPr="00D613A6">
        <w:rPr>
          <w:noProof w:val="0"/>
          <w:color w:val="17365D"/>
        </w:rPr>
        <w:t>8</w:t>
      </w:r>
      <w:r w:rsidR="009C3FA5" w:rsidRPr="00D613A6">
        <w:rPr>
          <w:noProof w:val="0"/>
          <w:color w:val="17365D"/>
        </w:rPr>
        <w:t xml:space="preserve"> </w:t>
      </w:r>
      <w:r w:rsidR="00C27116" w:rsidRPr="00D613A6">
        <w:rPr>
          <w:noProof w:val="0"/>
          <w:color w:val="17365D"/>
        </w:rPr>
        <w:t>729 </w:t>
      </w:r>
      <w:r w:rsidR="009C3FA5" w:rsidRPr="00D613A6">
        <w:rPr>
          <w:noProof w:val="0"/>
          <w:color w:val="17365D"/>
        </w:rPr>
        <w:t>4</w:t>
      </w:r>
      <w:r w:rsidR="00C27116" w:rsidRPr="00D613A6">
        <w:rPr>
          <w:noProof w:val="0"/>
          <w:color w:val="17365D"/>
        </w:rPr>
        <w:t xml:space="preserve">91 </w:t>
      </w:r>
      <w:r w:rsidRPr="00D613A6">
        <w:rPr>
          <w:i/>
          <w:noProof w:val="0"/>
          <w:color w:val="17365D"/>
        </w:rPr>
        <w:t>euro</w:t>
      </w:r>
      <w:r w:rsidRPr="00D613A6">
        <w:rPr>
          <w:color w:val="17365D"/>
        </w:rPr>
        <w:t xml:space="preserve"> </w:t>
      </w:r>
      <w:r w:rsidRPr="00D613A6">
        <w:rPr>
          <w:noProof w:val="0"/>
          <w:color w:val="17365D"/>
        </w:rPr>
        <w:t>vērtībā</w:t>
      </w:r>
      <w:r w:rsidRPr="00D613A6">
        <w:rPr>
          <w:color w:val="17365D"/>
        </w:rPr>
        <w:t>;</w:t>
      </w:r>
    </w:p>
    <w:p w14:paraId="673B5AF4" w14:textId="2A6D4190" w:rsidR="00465888" w:rsidRPr="00D613A6" w:rsidRDefault="00465888" w:rsidP="008750F0">
      <w:pPr>
        <w:pStyle w:val="Bullets"/>
        <w:numPr>
          <w:ilvl w:val="0"/>
          <w:numId w:val="7"/>
        </w:numPr>
        <w:ind w:left="993" w:hanging="426"/>
        <w:rPr>
          <w:color w:val="17365D"/>
        </w:rPr>
      </w:pPr>
      <w:r w:rsidRPr="00D613A6">
        <w:rPr>
          <w:noProof w:val="0"/>
          <w:color w:val="17365D"/>
        </w:rPr>
        <w:t>valsts budžeta kapitālo izdevumu transferti (izdevumu EKK 9100, ieņēmumu kods 18.2.0.0.) –</w:t>
      </w:r>
      <w:r w:rsidRPr="00D613A6">
        <w:rPr>
          <w:color w:val="17365D"/>
        </w:rPr>
        <w:t xml:space="preserve"> </w:t>
      </w:r>
      <w:r w:rsidR="00C27116" w:rsidRPr="00D613A6">
        <w:rPr>
          <w:noProof w:val="0"/>
          <w:color w:val="17365D"/>
        </w:rPr>
        <w:t>351</w:t>
      </w:r>
      <w:r w:rsidR="00716655" w:rsidRPr="00D613A6">
        <w:rPr>
          <w:noProof w:val="0"/>
          <w:color w:val="17365D"/>
        </w:rPr>
        <w:t> </w:t>
      </w:r>
      <w:r w:rsidR="00C27116" w:rsidRPr="00D613A6">
        <w:rPr>
          <w:noProof w:val="0"/>
          <w:color w:val="17365D"/>
        </w:rPr>
        <w:t>855</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6B1D2339" w14:textId="1F818FA1" w:rsidR="00465888" w:rsidRPr="00D613A6" w:rsidRDefault="00465888" w:rsidP="008750F0">
      <w:pPr>
        <w:pStyle w:val="Bullets"/>
        <w:numPr>
          <w:ilvl w:val="0"/>
          <w:numId w:val="7"/>
        </w:numPr>
        <w:ind w:left="993" w:hanging="426"/>
        <w:rPr>
          <w:noProof w:val="0"/>
          <w:color w:val="17365D"/>
        </w:rPr>
      </w:pPr>
      <w:r w:rsidRPr="00D613A6">
        <w:rPr>
          <w:noProof w:val="0"/>
          <w:color w:val="17365D"/>
        </w:rPr>
        <w:t xml:space="preserve">valsts budžeta transferti kapitālajiem izdevumiem citiem budžetiem noteiktam mērķim (izdevumu EKK 9500, ieņēmumu kods 18.3.0.0.) – </w:t>
      </w:r>
      <w:r w:rsidR="007B4050" w:rsidRPr="00D613A6">
        <w:rPr>
          <w:noProof w:val="0"/>
          <w:color w:val="17365D"/>
        </w:rPr>
        <w:t>6</w:t>
      </w:r>
      <w:r w:rsidR="009C3FA5" w:rsidRPr="00D613A6">
        <w:rPr>
          <w:noProof w:val="0"/>
          <w:color w:val="17365D"/>
        </w:rPr>
        <w:t xml:space="preserve"> </w:t>
      </w:r>
      <w:r w:rsidR="007B4050" w:rsidRPr="00D613A6">
        <w:rPr>
          <w:noProof w:val="0"/>
          <w:color w:val="17365D"/>
        </w:rPr>
        <w:t>907</w:t>
      </w:r>
      <w:r w:rsidR="009C3FA5" w:rsidRPr="00D613A6">
        <w:rPr>
          <w:noProof w:val="0"/>
          <w:color w:val="17365D"/>
        </w:rPr>
        <w:t xml:space="preserve"> </w:t>
      </w:r>
      <w:r w:rsidR="007B4050" w:rsidRPr="00D613A6">
        <w:rPr>
          <w:noProof w:val="0"/>
          <w:color w:val="17365D"/>
        </w:rPr>
        <w:t>635</w:t>
      </w:r>
      <w:r w:rsidR="009C3FA5" w:rsidRPr="00D613A6">
        <w:rPr>
          <w:noProof w:val="0"/>
          <w:color w:val="17365D"/>
        </w:rPr>
        <w:t xml:space="preserve"> </w:t>
      </w:r>
      <w:r w:rsidRPr="00D613A6">
        <w:rPr>
          <w:i/>
          <w:noProof w:val="0"/>
          <w:color w:val="17365D"/>
        </w:rPr>
        <w:t>euro</w:t>
      </w:r>
      <w:r w:rsidRPr="00D613A6">
        <w:rPr>
          <w:noProof w:val="0"/>
          <w:color w:val="17365D"/>
        </w:rPr>
        <w:t xml:space="preserve"> vērtībā;</w:t>
      </w:r>
    </w:p>
    <w:p w14:paraId="57DD20B7" w14:textId="4DBB7B83" w:rsidR="00465888" w:rsidRPr="00D613A6" w:rsidRDefault="00465888" w:rsidP="008750F0">
      <w:pPr>
        <w:pStyle w:val="Bullets"/>
        <w:numPr>
          <w:ilvl w:val="0"/>
          <w:numId w:val="7"/>
        </w:numPr>
        <w:ind w:left="993" w:hanging="426"/>
        <w:rPr>
          <w:color w:val="17365D"/>
        </w:rPr>
      </w:pPr>
      <w:r w:rsidRPr="00D613A6">
        <w:rPr>
          <w:noProof w:val="0"/>
          <w:color w:val="17365D"/>
        </w:rPr>
        <w:lastRenderedPageBreak/>
        <w:t>pārējie valsts budžeta kapitālo izdevumu transferti citiem budžetiem (izdevumu EKK</w:t>
      </w:r>
      <w:r w:rsidR="00F2451C" w:rsidRPr="00D613A6">
        <w:rPr>
          <w:noProof w:val="0"/>
          <w:color w:val="17365D"/>
        </w:rPr>
        <w:t> </w:t>
      </w:r>
      <w:r w:rsidRPr="00D613A6">
        <w:rPr>
          <w:noProof w:val="0"/>
          <w:color w:val="17365D"/>
        </w:rPr>
        <w:t>9700, ieņēmumu kods 18.3.0.0.)</w:t>
      </w:r>
      <w:r w:rsidRPr="00D613A6">
        <w:rPr>
          <w:color w:val="17365D"/>
        </w:rPr>
        <w:t xml:space="preserve"> – </w:t>
      </w:r>
      <w:r w:rsidR="007B4050" w:rsidRPr="00D613A6">
        <w:rPr>
          <w:color w:val="17365D"/>
        </w:rPr>
        <w:t>8</w:t>
      </w:r>
      <w:r w:rsidR="00716655" w:rsidRPr="00D613A6">
        <w:rPr>
          <w:noProof w:val="0"/>
          <w:color w:val="17365D"/>
        </w:rPr>
        <w:t> </w:t>
      </w:r>
      <w:r w:rsidR="007B4050" w:rsidRPr="00D613A6">
        <w:rPr>
          <w:noProof w:val="0"/>
          <w:color w:val="17365D"/>
        </w:rPr>
        <w:t>011</w:t>
      </w:r>
      <w:r w:rsidR="00716655" w:rsidRPr="00D613A6">
        <w:rPr>
          <w:noProof w:val="0"/>
          <w:color w:val="17365D"/>
        </w:rPr>
        <w:t> </w:t>
      </w:r>
      <w:r w:rsidR="007B4050" w:rsidRPr="00D613A6">
        <w:rPr>
          <w:noProof w:val="0"/>
          <w:color w:val="17365D"/>
        </w:rPr>
        <w:t>532</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00716655" w:rsidRPr="00D613A6">
        <w:rPr>
          <w:color w:val="17365D"/>
        </w:rPr>
        <w:t>;</w:t>
      </w:r>
    </w:p>
    <w:p w14:paraId="3F873DB5" w14:textId="31DAA95A" w:rsidR="00716655" w:rsidRPr="00D613A6" w:rsidRDefault="00716655" w:rsidP="008750F0">
      <w:pPr>
        <w:pStyle w:val="Bullets"/>
        <w:numPr>
          <w:ilvl w:val="0"/>
          <w:numId w:val="7"/>
        </w:numPr>
        <w:ind w:left="993" w:hanging="426"/>
        <w:rPr>
          <w:color w:val="17365D"/>
        </w:rPr>
      </w:pPr>
      <w:r w:rsidRPr="00D613A6">
        <w:rPr>
          <w:noProof w:val="0"/>
          <w:color w:val="17365D"/>
        </w:rPr>
        <w:t>no valsts budžeta daļēji finansētu atvasinātu publisku personu un budžeta nefinansētu iestāžu uzturēšanas izdevumu transferti (izdevumu EKK 9800, ieņēmumu kodi 12.3.0</w:t>
      </w:r>
      <w:r w:rsidR="00DC678E" w:rsidRPr="00D613A6">
        <w:rPr>
          <w:noProof w:val="0"/>
          <w:color w:val="17365D"/>
        </w:rPr>
        <w:t xml:space="preserve">.0., 17.1.0.0. un 17.4.0.0.) – </w:t>
      </w:r>
      <w:r w:rsidR="007B4050" w:rsidRPr="00D613A6">
        <w:rPr>
          <w:noProof w:val="0"/>
          <w:color w:val="17365D"/>
        </w:rPr>
        <w:t>143</w:t>
      </w:r>
      <w:r w:rsidRPr="00D613A6">
        <w:rPr>
          <w:noProof w:val="0"/>
          <w:color w:val="17365D"/>
        </w:rPr>
        <w:t> </w:t>
      </w:r>
      <w:r w:rsidR="007B4050" w:rsidRPr="00D613A6">
        <w:rPr>
          <w:noProof w:val="0"/>
          <w:color w:val="17365D"/>
        </w:rPr>
        <w:t>268</w:t>
      </w:r>
      <w:r w:rsidRPr="00D613A6">
        <w:rPr>
          <w:noProof w:val="0"/>
          <w:color w:val="17365D"/>
        </w:rPr>
        <w:t xml:space="preserve"> </w:t>
      </w:r>
      <w:r w:rsidRPr="00D613A6">
        <w:rPr>
          <w:i/>
          <w:noProof w:val="0"/>
          <w:color w:val="17365D"/>
        </w:rPr>
        <w:t>euro</w:t>
      </w:r>
      <w:r w:rsidRPr="00D613A6">
        <w:rPr>
          <w:i/>
          <w:color w:val="17365D"/>
        </w:rPr>
        <w:t xml:space="preserve"> </w:t>
      </w:r>
      <w:r w:rsidRPr="00D613A6">
        <w:rPr>
          <w:noProof w:val="0"/>
          <w:color w:val="17365D"/>
        </w:rPr>
        <w:t>vērtībā</w:t>
      </w:r>
      <w:r w:rsidRPr="00D613A6">
        <w:rPr>
          <w:color w:val="17365D"/>
        </w:rPr>
        <w:t>.</w:t>
      </w:r>
    </w:p>
    <w:p w14:paraId="4B8BF504" w14:textId="75937C4D" w:rsidR="00C1163C" w:rsidRPr="00D613A6" w:rsidRDefault="00C1163C" w:rsidP="00E50BC6">
      <w:pPr>
        <w:pStyle w:val="Pamatteksts1"/>
        <w:spacing w:after="0"/>
        <w:rPr>
          <w:noProof w:val="0"/>
          <w:color w:val="17365D"/>
        </w:rPr>
      </w:pPr>
      <w:r w:rsidRPr="00D613A6">
        <w:rPr>
          <w:noProof w:val="0"/>
          <w:color w:val="17365D"/>
          <w:u w:val="single"/>
        </w:rPr>
        <w:t>Valsts pamatbudžeta</w:t>
      </w:r>
      <w:r w:rsidRPr="00D613A6">
        <w:rPr>
          <w:noProof w:val="0"/>
          <w:color w:val="17365D"/>
        </w:rPr>
        <w:t xml:space="preserve"> ieņēmumi un izdevumi konsolidēti </w:t>
      </w:r>
      <w:r w:rsidR="00A75056" w:rsidRPr="00D613A6">
        <w:rPr>
          <w:b/>
          <w:bCs/>
          <w:noProof w:val="0"/>
          <w:color w:val="17365D"/>
        </w:rPr>
        <w:t>111</w:t>
      </w:r>
      <w:r w:rsidR="00A905F9" w:rsidRPr="00D613A6">
        <w:rPr>
          <w:b/>
          <w:bCs/>
          <w:noProof w:val="0"/>
          <w:color w:val="17365D"/>
        </w:rPr>
        <w:t> </w:t>
      </w:r>
      <w:r w:rsidR="00A75056" w:rsidRPr="00D613A6">
        <w:rPr>
          <w:b/>
          <w:bCs/>
          <w:noProof w:val="0"/>
          <w:color w:val="17365D"/>
        </w:rPr>
        <w:t>469</w:t>
      </w:r>
      <w:r w:rsidR="00A905F9" w:rsidRPr="00D613A6">
        <w:rPr>
          <w:b/>
          <w:bCs/>
          <w:noProof w:val="0"/>
          <w:color w:val="17365D"/>
        </w:rPr>
        <w:t> </w:t>
      </w:r>
      <w:r w:rsidR="00A75056" w:rsidRPr="00D613A6">
        <w:rPr>
          <w:b/>
          <w:bCs/>
          <w:noProof w:val="0"/>
          <w:color w:val="17365D"/>
        </w:rPr>
        <w:t>624</w:t>
      </w:r>
      <w:r w:rsidRPr="00D613A6">
        <w:rPr>
          <w:b/>
          <w:bCs/>
          <w:noProof w:val="0"/>
          <w:color w:val="17365D"/>
        </w:rPr>
        <w:t xml:space="preserve"> </w:t>
      </w:r>
      <w:r w:rsidRPr="00D613A6">
        <w:rPr>
          <w:i/>
          <w:noProof w:val="0"/>
          <w:color w:val="17365D"/>
        </w:rPr>
        <w:t>euro</w:t>
      </w:r>
      <w:r w:rsidRPr="00D613A6">
        <w:rPr>
          <w:b/>
          <w:bCs/>
          <w:noProof w:val="0"/>
          <w:color w:val="17365D"/>
        </w:rPr>
        <w:t xml:space="preserve"> </w:t>
      </w:r>
      <w:r w:rsidRPr="00D613A6">
        <w:rPr>
          <w:bCs/>
          <w:noProof w:val="0"/>
          <w:color w:val="17365D"/>
        </w:rPr>
        <w:t>vērtībā</w:t>
      </w:r>
      <w:r w:rsidRPr="00D613A6">
        <w:rPr>
          <w:noProof w:val="0"/>
          <w:color w:val="17365D"/>
        </w:rPr>
        <w:t xml:space="preserve"> šādās budžeta izpildes pozīcijās:</w:t>
      </w:r>
      <w:r w:rsidRPr="00D613A6">
        <w:rPr>
          <w:b/>
          <w:noProof w:val="0"/>
          <w:color w:val="17365D"/>
          <w:lang w:eastAsia="en-US"/>
        </w:rPr>
        <w:t xml:space="preserve"> </w:t>
      </w:r>
    </w:p>
    <w:p w14:paraId="53438167" w14:textId="1D05829E" w:rsidR="00C1163C" w:rsidRPr="00D613A6" w:rsidRDefault="00F62363" w:rsidP="008750F0">
      <w:pPr>
        <w:pStyle w:val="Bullets"/>
        <w:numPr>
          <w:ilvl w:val="0"/>
          <w:numId w:val="7"/>
        </w:numPr>
        <w:ind w:left="993" w:hanging="426"/>
        <w:rPr>
          <w:noProof w:val="0"/>
          <w:color w:val="17365D"/>
        </w:rPr>
      </w:pPr>
      <w:r w:rsidRPr="00D613A6">
        <w:rPr>
          <w:noProof w:val="0"/>
          <w:color w:val="17365D"/>
        </w:rPr>
        <w:t>v</w:t>
      </w:r>
      <w:r w:rsidR="00C1163C" w:rsidRPr="00D613A6">
        <w:rPr>
          <w:noProof w:val="0"/>
          <w:color w:val="17365D"/>
        </w:rPr>
        <w:t xml:space="preserve">alsts budžeta uzturēšanas izdevumu transferti no valsts pamatbudžeta dotācijas no vispārējiem ieņēmumiem uz valsts pamatbudžetu (izdevumu EKK 7131, ieņēmumu kods 18.1.3.1.) – </w:t>
      </w:r>
      <w:r w:rsidR="007937B0" w:rsidRPr="00D613A6">
        <w:rPr>
          <w:noProof w:val="0"/>
          <w:color w:val="17365D"/>
        </w:rPr>
        <w:t>73</w:t>
      </w:r>
      <w:r w:rsidR="002A4A90" w:rsidRPr="00D613A6">
        <w:rPr>
          <w:noProof w:val="0"/>
          <w:color w:val="17365D"/>
        </w:rPr>
        <w:t> </w:t>
      </w:r>
      <w:r w:rsidR="007937B0" w:rsidRPr="00D613A6">
        <w:rPr>
          <w:noProof w:val="0"/>
          <w:color w:val="17365D"/>
        </w:rPr>
        <w:t>580</w:t>
      </w:r>
      <w:r w:rsidR="004133B3" w:rsidRPr="00D613A6">
        <w:rPr>
          <w:noProof w:val="0"/>
          <w:color w:val="17365D"/>
        </w:rPr>
        <w:t> </w:t>
      </w:r>
      <w:r w:rsidR="007937B0" w:rsidRPr="00D613A6">
        <w:rPr>
          <w:noProof w:val="0"/>
          <w:color w:val="17365D"/>
        </w:rPr>
        <w:t>560</w:t>
      </w:r>
      <w:r w:rsidR="004133B3" w:rsidRPr="00D613A6">
        <w:rPr>
          <w:noProof w:val="0"/>
          <w:color w:val="17365D"/>
        </w:rPr>
        <w:t xml:space="preserve"> </w:t>
      </w:r>
      <w:r w:rsidR="00C1163C" w:rsidRPr="00D613A6">
        <w:rPr>
          <w:i/>
          <w:noProof w:val="0"/>
          <w:color w:val="17365D"/>
        </w:rPr>
        <w:t>euro</w:t>
      </w:r>
      <w:r w:rsidR="00C1163C" w:rsidRPr="00D613A6">
        <w:rPr>
          <w:noProof w:val="0"/>
          <w:color w:val="17365D"/>
        </w:rPr>
        <w:t xml:space="preserve"> vērtībā; </w:t>
      </w:r>
    </w:p>
    <w:p w14:paraId="5FC83C49" w14:textId="4A5D4026" w:rsidR="00C1163C" w:rsidRPr="00D613A6" w:rsidRDefault="00C1163C" w:rsidP="008750F0">
      <w:pPr>
        <w:pStyle w:val="Bullets"/>
        <w:numPr>
          <w:ilvl w:val="0"/>
          <w:numId w:val="7"/>
        </w:numPr>
        <w:ind w:left="993" w:hanging="426"/>
        <w:rPr>
          <w:noProof w:val="0"/>
          <w:color w:val="17365D"/>
        </w:rPr>
      </w:pPr>
      <w:r w:rsidRPr="00D613A6">
        <w:rPr>
          <w:noProof w:val="0"/>
          <w:color w:val="17365D"/>
        </w:rPr>
        <w:t xml:space="preserve">valsts budžeta uzturēšanas izdevumu transferti no valsts pamatbudžeta ārvalstu finanšu palīdzības līdzekļiem uz valsts pamatbudžetu (izdevumu EKK 7132, ieņēmumu kods 18.1.3.2.) – </w:t>
      </w:r>
      <w:r w:rsidR="007937B0" w:rsidRPr="00D613A6">
        <w:rPr>
          <w:noProof w:val="0"/>
          <w:color w:val="17365D"/>
        </w:rPr>
        <w:t>2</w:t>
      </w:r>
      <w:r w:rsidR="002A4A90" w:rsidRPr="00D613A6">
        <w:rPr>
          <w:noProof w:val="0"/>
          <w:color w:val="17365D"/>
        </w:rPr>
        <w:t> </w:t>
      </w:r>
      <w:r w:rsidR="007937B0" w:rsidRPr="00D613A6">
        <w:rPr>
          <w:noProof w:val="0"/>
          <w:color w:val="17365D"/>
        </w:rPr>
        <w:t>963</w:t>
      </w:r>
      <w:r w:rsidR="004133B3" w:rsidRPr="00D613A6">
        <w:rPr>
          <w:noProof w:val="0"/>
          <w:color w:val="17365D"/>
        </w:rPr>
        <w:t> </w:t>
      </w:r>
      <w:r w:rsidR="007937B0" w:rsidRPr="00D613A6">
        <w:rPr>
          <w:noProof w:val="0"/>
          <w:color w:val="17365D"/>
        </w:rPr>
        <w:t>962</w:t>
      </w:r>
      <w:r w:rsidR="004133B3" w:rsidRPr="00D613A6">
        <w:rPr>
          <w:noProof w:val="0"/>
          <w:color w:val="17365D"/>
        </w:rPr>
        <w:t xml:space="preserve"> </w:t>
      </w:r>
      <w:r w:rsidRPr="00D613A6">
        <w:rPr>
          <w:i/>
          <w:noProof w:val="0"/>
          <w:color w:val="17365D"/>
        </w:rPr>
        <w:t>euro</w:t>
      </w:r>
      <w:r w:rsidRPr="00D613A6">
        <w:rPr>
          <w:noProof w:val="0"/>
          <w:color w:val="17365D"/>
        </w:rPr>
        <w:t xml:space="preserve"> vērtībā; </w:t>
      </w:r>
    </w:p>
    <w:p w14:paraId="1FBD9DA1" w14:textId="48F9405C" w:rsidR="00C1163C" w:rsidRPr="00D613A6" w:rsidRDefault="00C1163C" w:rsidP="008750F0">
      <w:pPr>
        <w:pStyle w:val="Bullets"/>
        <w:numPr>
          <w:ilvl w:val="0"/>
          <w:numId w:val="7"/>
        </w:numPr>
        <w:ind w:left="993" w:hanging="426"/>
        <w:rPr>
          <w:color w:val="17365D"/>
        </w:rPr>
      </w:pPr>
      <w:r w:rsidRPr="00D613A6">
        <w:rPr>
          <w:noProof w:val="0"/>
          <w:color w:val="17365D"/>
        </w:rPr>
        <w:t>pārējie valsts budžeta uzturēšanas izdevumu transferti no valsts pamatbudžeta uz valsts pamatbudžetu (izdevumu EKK 7139, ieņēmumu kod</w:t>
      </w:r>
      <w:r w:rsidR="00E83647" w:rsidRPr="00D613A6">
        <w:rPr>
          <w:noProof w:val="0"/>
          <w:color w:val="17365D"/>
        </w:rPr>
        <w:t>i</w:t>
      </w:r>
      <w:r w:rsidRPr="00D613A6">
        <w:rPr>
          <w:noProof w:val="0"/>
          <w:color w:val="17365D"/>
        </w:rPr>
        <w:t xml:space="preserve"> 18.1.3.9.</w:t>
      </w:r>
      <w:r w:rsidR="005E0D64" w:rsidRPr="00D613A6">
        <w:rPr>
          <w:noProof w:val="0"/>
          <w:color w:val="17365D"/>
        </w:rPr>
        <w:t xml:space="preserve"> </w:t>
      </w:r>
      <w:r w:rsidR="001A649A" w:rsidRPr="00D613A6">
        <w:rPr>
          <w:noProof w:val="0"/>
          <w:color w:val="17365D"/>
        </w:rPr>
        <w:t>un 12.3.0.0</w:t>
      </w:r>
      <w:r w:rsidR="005E0D64" w:rsidRPr="00D613A6">
        <w:rPr>
          <w:noProof w:val="0"/>
          <w:color w:val="17365D"/>
        </w:rPr>
        <w:t>.</w:t>
      </w:r>
      <w:r w:rsidRPr="00D613A6">
        <w:rPr>
          <w:noProof w:val="0"/>
          <w:color w:val="17365D"/>
        </w:rPr>
        <w:t xml:space="preserve">) – </w:t>
      </w:r>
      <w:r w:rsidR="007937B0" w:rsidRPr="00D613A6">
        <w:rPr>
          <w:color w:val="17365D"/>
        </w:rPr>
        <w:t>3</w:t>
      </w:r>
      <w:r w:rsidR="00364809" w:rsidRPr="00D613A6">
        <w:rPr>
          <w:color w:val="17365D"/>
        </w:rPr>
        <w:t> </w:t>
      </w:r>
      <w:r w:rsidR="007937B0" w:rsidRPr="00D613A6">
        <w:rPr>
          <w:color w:val="17365D"/>
        </w:rPr>
        <w:t>980</w:t>
      </w:r>
      <w:r w:rsidR="00364809" w:rsidRPr="00D613A6">
        <w:rPr>
          <w:color w:val="17365D"/>
        </w:rPr>
        <w:t> </w:t>
      </w:r>
      <w:r w:rsidR="007937B0" w:rsidRPr="00D613A6">
        <w:rPr>
          <w:color w:val="17365D"/>
        </w:rPr>
        <w:t>039</w:t>
      </w:r>
      <w:r w:rsidR="00364809" w:rsidRPr="00D613A6">
        <w:rPr>
          <w:color w:val="17365D"/>
        </w:rPr>
        <w:t> </w:t>
      </w:r>
      <w:r w:rsidRPr="00D613A6">
        <w:rPr>
          <w:i/>
          <w:noProof w:val="0"/>
          <w:color w:val="17365D"/>
        </w:rPr>
        <w:t>euro</w:t>
      </w:r>
      <w:r w:rsidRPr="00D613A6">
        <w:rPr>
          <w:noProof w:val="0"/>
          <w:color w:val="17365D"/>
        </w:rPr>
        <w:t xml:space="preserve"> vērtībā; </w:t>
      </w:r>
    </w:p>
    <w:p w14:paraId="4854EC8D" w14:textId="6A1C431C" w:rsidR="00C1163C" w:rsidRPr="00D613A6" w:rsidRDefault="00C1163C" w:rsidP="008750F0">
      <w:pPr>
        <w:pStyle w:val="Bullets"/>
        <w:numPr>
          <w:ilvl w:val="0"/>
          <w:numId w:val="7"/>
        </w:numPr>
        <w:ind w:left="993" w:hanging="426"/>
        <w:rPr>
          <w:noProof w:val="0"/>
          <w:color w:val="17365D"/>
        </w:rPr>
      </w:pPr>
      <w:r w:rsidRPr="00D613A6">
        <w:rPr>
          <w:noProof w:val="0"/>
          <w:color w:val="17365D"/>
        </w:rPr>
        <w:t>atmaksa valsts pamatbudžetā par valsts budžeta iestāžu veiktajiem uzturēšanas izdevumiem Eiropas Savienības politiku instrumentu un pārējās ārvalstu finanšu palīdzības līdzfinansētajos projektos (pasākumos) (izdevumu EKK 75</w:t>
      </w:r>
      <w:r w:rsidR="00EE5412" w:rsidRPr="00D613A6">
        <w:rPr>
          <w:noProof w:val="0"/>
          <w:color w:val="17365D"/>
        </w:rPr>
        <w:t>0</w:t>
      </w:r>
      <w:r w:rsidRPr="00D613A6">
        <w:rPr>
          <w:noProof w:val="0"/>
          <w:color w:val="17365D"/>
        </w:rPr>
        <w:t xml:space="preserve">0, ieņēmumu kodi 21.2.1.0. un 21.7.2.0.) – </w:t>
      </w:r>
      <w:r w:rsidR="002A4A90" w:rsidRPr="00D613A6">
        <w:rPr>
          <w:noProof w:val="0"/>
          <w:color w:val="17365D"/>
        </w:rPr>
        <w:t>2</w:t>
      </w:r>
      <w:r w:rsidR="007937B0" w:rsidRPr="00D613A6">
        <w:rPr>
          <w:noProof w:val="0"/>
          <w:color w:val="17365D"/>
        </w:rPr>
        <w:t>7</w:t>
      </w:r>
      <w:r w:rsidR="002A4A90" w:rsidRPr="00D613A6">
        <w:rPr>
          <w:noProof w:val="0"/>
          <w:color w:val="17365D"/>
        </w:rPr>
        <w:t> </w:t>
      </w:r>
      <w:r w:rsidR="007937B0" w:rsidRPr="00D613A6">
        <w:rPr>
          <w:noProof w:val="0"/>
          <w:color w:val="17365D"/>
        </w:rPr>
        <w:t>489</w:t>
      </w:r>
      <w:r w:rsidR="002A4A90" w:rsidRPr="00D613A6">
        <w:rPr>
          <w:noProof w:val="0"/>
          <w:color w:val="17365D"/>
        </w:rPr>
        <w:t> </w:t>
      </w:r>
      <w:r w:rsidR="007937B0" w:rsidRPr="00D613A6">
        <w:rPr>
          <w:noProof w:val="0"/>
          <w:color w:val="17365D"/>
        </w:rPr>
        <w:t>289</w:t>
      </w:r>
      <w:r w:rsidR="002A4A90" w:rsidRPr="00D613A6">
        <w:rPr>
          <w:noProof w:val="0"/>
          <w:color w:val="17365D"/>
        </w:rPr>
        <w:t xml:space="preserve"> </w:t>
      </w:r>
      <w:r w:rsidRPr="00D613A6">
        <w:rPr>
          <w:i/>
          <w:noProof w:val="0"/>
          <w:color w:val="17365D"/>
        </w:rPr>
        <w:t>euro</w:t>
      </w:r>
      <w:r w:rsidRPr="00D613A6">
        <w:rPr>
          <w:noProof w:val="0"/>
          <w:color w:val="17365D"/>
        </w:rPr>
        <w:t xml:space="preserve"> vērtībā; </w:t>
      </w:r>
    </w:p>
    <w:p w14:paraId="45B2FB75" w14:textId="425CE4F7" w:rsidR="00716655" w:rsidRPr="00D613A6" w:rsidRDefault="00716655" w:rsidP="008750F0">
      <w:pPr>
        <w:pStyle w:val="Bullets"/>
        <w:numPr>
          <w:ilvl w:val="0"/>
          <w:numId w:val="7"/>
        </w:numPr>
        <w:ind w:left="993" w:hanging="426"/>
        <w:rPr>
          <w:noProof w:val="0"/>
          <w:color w:val="17365D"/>
        </w:rPr>
      </w:pPr>
      <w:r w:rsidRPr="00D613A6">
        <w:rPr>
          <w:noProof w:val="0"/>
          <w:color w:val="17365D"/>
        </w:rPr>
        <w:t xml:space="preserve">izdevumi subsīdijām un dotācijām komersantiem, biedrībām un nodibinājumiem (izdevumu EKK 3200, ieņēmumu kods 12.3.0.0.) – </w:t>
      </w:r>
      <w:r w:rsidR="007937B0" w:rsidRPr="00D613A6">
        <w:rPr>
          <w:noProof w:val="0"/>
          <w:color w:val="17365D"/>
        </w:rPr>
        <w:t>3</w:t>
      </w:r>
      <w:r w:rsidR="001A649A" w:rsidRPr="00D613A6">
        <w:rPr>
          <w:noProof w:val="0"/>
          <w:color w:val="17365D"/>
        </w:rPr>
        <w:t> </w:t>
      </w:r>
      <w:r w:rsidR="007937B0" w:rsidRPr="00D613A6">
        <w:rPr>
          <w:noProof w:val="0"/>
          <w:color w:val="17365D"/>
        </w:rPr>
        <w:t>359</w:t>
      </w:r>
      <w:r w:rsidR="001A649A" w:rsidRPr="00D613A6">
        <w:rPr>
          <w:noProof w:val="0"/>
          <w:color w:val="17365D"/>
        </w:rPr>
        <w:t> </w:t>
      </w:r>
      <w:r w:rsidR="007937B0" w:rsidRPr="00D613A6">
        <w:rPr>
          <w:noProof w:val="0"/>
          <w:color w:val="17365D"/>
        </w:rPr>
        <w:t>575</w:t>
      </w:r>
      <w:r w:rsidR="001A649A" w:rsidRPr="00D613A6">
        <w:rPr>
          <w:noProof w:val="0"/>
          <w:color w:val="17365D"/>
        </w:rPr>
        <w:t> </w:t>
      </w:r>
      <w:r w:rsidRPr="00D613A6">
        <w:rPr>
          <w:i/>
          <w:noProof w:val="0"/>
          <w:color w:val="17365D"/>
        </w:rPr>
        <w:t>euro</w:t>
      </w:r>
      <w:r w:rsidRPr="00D613A6">
        <w:rPr>
          <w:noProof w:val="0"/>
          <w:color w:val="17365D"/>
        </w:rPr>
        <w:t xml:space="preserve"> vērtībā;</w:t>
      </w:r>
    </w:p>
    <w:p w14:paraId="2DB788BB" w14:textId="55499D0E" w:rsidR="001A649A" w:rsidRPr="00D613A6" w:rsidRDefault="00465888" w:rsidP="008750F0">
      <w:pPr>
        <w:pStyle w:val="Bullets"/>
        <w:numPr>
          <w:ilvl w:val="0"/>
          <w:numId w:val="7"/>
        </w:numPr>
        <w:ind w:left="993" w:hanging="426"/>
        <w:rPr>
          <w:noProof w:val="0"/>
          <w:color w:val="17365D"/>
        </w:rPr>
      </w:pPr>
      <w:r w:rsidRPr="00D613A6">
        <w:rPr>
          <w:noProof w:val="0"/>
          <w:color w:val="17365D"/>
        </w:rPr>
        <w:t>procentu izdevumi (izdevumu EKK 4300, ieņēmumu kod</w:t>
      </w:r>
      <w:r w:rsidR="00A23A85" w:rsidRPr="00D613A6">
        <w:rPr>
          <w:noProof w:val="0"/>
          <w:color w:val="17365D"/>
        </w:rPr>
        <w:t>s</w:t>
      </w:r>
      <w:r w:rsidRPr="00D613A6">
        <w:rPr>
          <w:noProof w:val="0"/>
          <w:color w:val="17365D"/>
        </w:rPr>
        <w:t xml:space="preserve"> 8.4.0.0.) –</w:t>
      </w:r>
      <w:r w:rsidRPr="00D613A6">
        <w:rPr>
          <w:color w:val="17365D"/>
        </w:rPr>
        <w:t xml:space="preserve"> </w:t>
      </w:r>
      <w:r w:rsidR="007937B0" w:rsidRPr="00D613A6">
        <w:rPr>
          <w:noProof w:val="0"/>
          <w:color w:val="17365D"/>
        </w:rPr>
        <w:t>9</w:t>
      </w:r>
      <w:r w:rsidR="002F2A76" w:rsidRPr="00D613A6">
        <w:rPr>
          <w:noProof w:val="0"/>
          <w:color w:val="17365D"/>
        </w:rPr>
        <w:t>6</w:t>
      </w:r>
      <w:r w:rsidR="001A649A" w:rsidRPr="00D613A6">
        <w:rPr>
          <w:noProof w:val="0"/>
          <w:color w:val="17365D"/>
        </w:rPr>
        <w:t> </w:t>
      </w:r>
      <w:r w:rsidR="007937B0" w:rsidRPr="00D613A6">
        <w:rPr>
          <w:noProof w:val="0"/>
          <w:color w:val="17365D"/>
        </w:rPr>
        <w:t>199</w:t>
      </w:r>
      <w:r w:rsidR="001A649A" w:rsidRPr="00D613A6">
        <w:rPr>
          <w:noProof w:val="0"/>
          <w:color w:val="17365D"/>
        </w:rPr>
        <w:t> </w:t>
      </w:r>
      <w:r w:rsidRPr="00D613A6">
        <w:rPr>
          <w:i/>
          <w:noProof w:val="0"/>
          <w:color w:val="17365D"/>
        </w:rPr>
        <w:t>euro</w:t>
      </w:r>
      <w:r w:rsidR="009C1707" w:rsidRPr="00D613A6">
        <w:rPr>
          <w:noProof w:val="0"/>
          <w:color w:val="17365D"/>
        </w:rPr>
        <w:t xml:space="preserve"> vērtībā.</w:t>
      </w:r>
    </w:p>
    <w:p w14:paraId="62345D5D" w14:textId="218637CA" w:rsidR="00C01062" w:rsidRPr="00D613A6" w:rsidRDefault="00C01062" w:rsidP="006E05C2">
      <w:pPr>
        <w:pStyle w:val="Pamatteksts1"/>
        <w:spacing w:after="0"/>
        <w:rPr>
          <w:b/>
          <w:noProof w:val="0"/>
          <w:color w:val="17365D"/>
          <w:lang w:eastAsia="en-US"/>
        </w:rPr>
      </w:pPr>
      <w:r w:rsidRPr="00D613A6">
        <w:rPr>
          <w:noProof w:val="0"/>
          <w:color w:val="17365D"/>
          <w:u w:val="single"/>
        </w:rPr>
        <w:t>No valsts budžeta daļēji finansētu atvasināt</w:t>
      </w:r>
      <w:r w:rsidR="00A23A85" w:rsidRPr="00D613A6">
        <w:rPr>
          <w:noProof w:val="0"/>
          <w:color w:val="17365D"/>
          <w:u w:val="single"/>
        </w:rPr>
        <w:t>u</w:t>
      </w:r>
      <w:r w:rsidRPr="00D613A6">
        <w:rPr>
          <w:noProof w:val="0"/>
          <w:color w:val="17365D"/>
          <w:u w:val="single"/>
        </w:rPr>
        <w:t xml:space="preserve"> publisk</w:t>
      </w:r>
      <w:r w:rsidR="00A23A85" w:rsidRPr="00D613A6">
        <w:rPr>
          <w:noProof w:val="0"/>
          <w:color w:val="17365D"/>
          <w:u w:val="single"/>
        </w:rPr>
        <w:t>u</w:t>
      </w:r>
      <w:r w:rsidRPr="00D613A6">
        <w:rPr>
          <w:noProof w:val="0"/>
          <w:color w:val="17365D"/>
          <w:u w:val="single"/>
        </w:rPr>
        <w:t xml:space="preserve"> personu un budžeta nefinansētu iestāžu pamatdarbības</w:t>
      </w:r>
      <w:r w:rsidRPr="00D613A6">
        <w:rPr>
          <w:noProof w:val="0"/>
          <w:color w:val="17365D"/>
        </w:rPr>
        <w:t xml:space="preserve"> ieņēmumi un izdevumi konsolidēti </w:t>
      </w:r>
      <w:r w:rsidR="007232CE" w:rsidRPr="00D613A6">
        <w:rPr>
          <w:b/>
          <w:bCs/>
          <w:noProof w:val="0"/>
          <w:color w:val="17365D"/>
        </w:rPr>
        <w:t>4 3</w:t>
      </w:r>
      <w:r w:rsidR="002F2A76" w:rsidRPr="00D613A6">
        <w:rPr>
          <w:b/>
          <w:bCs/>
          <w:noProof w:val="0"/>
          <w:color w:val="17365D"/>
        </w:rPr>
        <w:t>18</w:t>
      </w:r>
      <w:r w:rsidR="00D50FF2" w:rsidRPr="00D613A6">
        <w:rPr>
          <w:b/>
          <w:bCs/>
          <w:noProof w:val="0"/>
          <w:color w:val="17365D"/>
        </w:rPr>
        <w:t> </w:t>
      </w:r>
      <w:r w:rsidR="007232CE" w:rsidRPr="00D613A6">
        <w:rPr>
          <w:b/>
          <w:bCs/>
          <w:noProof w:val="0"/>
          <w:color w:val="17365D"/>
        </w:rPr>
        <w:t>250 </w:t>
      </w:r>
      <w:r w:rsidRPr="00D613A6">
        <w:rPr>
          <w:i/>
          <w:noProof w:val="0"/>
          <w:color w:val="17365D"/>
        </w:rPr>
        <w:t>euro</w:t>
      </w:r>
      <w:r w:rsidRPr="00D613A6">
        <w:rPr>
          <w:b/>
          <w:bCs/>
          <w:noProof w:val="0"/>
          <w:color w:val="17365D"/>
        </w:rPr>
        <w:t xml:space="preserve"> </w:t>
      </w:r>
      <w:r w:rsidRPr="00D613A6">
        <w:rPr>
          <w:bCs/>
          <w:noProof w:val="0"/>
          <w:color w:val="17365D"/>
        </w:rPr>
        <w:t>vērtībā</w:t>
      </w:r>
      <w:r w:rsidRPr="00D613A6">
        <w:rPr>
          <w:noProof w:val="0"/>
          <w:color w:val="17365D"/>
        </w:rPr>
        <w:t xml:space="preserve"> šādā budžeta izpildes pozīcijā:</w:t>
      </w:r>
      <w:r w:rsidRPr="00D613A6">
        <w:rPr>
          <w:b/>
          <w:noProof w:val="0"/>
          <w:color w:val="17365D"/>
          <w:lang w:eastAsia="en-US"/>
        </w:rPr>
        <w:t xml:space="preserve"> </w:t>
      </w:r>
    </w:p>
    <w:p w14:paraId="16F371F4" w14:textId="3CEE2B3C" w:rsidR="00135CD4" w:rsidRPr="00D613A6" w:rsidRDefault="00C01062" w:rsidP="008750F0">
      <w:pPr>
        <w:pStyle w:val="Bullets"/>
        <w:numPr>
          <w:ilvl w:val="0"/>
          <w:numId w:val="7"/>
        </w:numPr>
        <w:ind w:left="993" w:hanging="426"/>
        <w:rPr>
          <w:noProof w:val="0"/>
          <w:color w:val="17365D"/>
        </w:rPr>
      </w:pPr>
      <w:r w:rsidRPr="00D613A6">
        <w:rPr>
          <w:noProof w:val="0"/>
          <w:color w:val="17365D"/>
        </w:rPr>
        <w:t>no valsts budžeta daļēji finansētu atvasināt</w:t>
      </w:r>
      <w:r w:rsidR="00A23A85" w:rsidRPr="00D613A6">
        <w:rPr>
          <w:noProof w:val="0"/>
          <w:color w:val="17365D"/>
        </w:rPr>
        <w:t>u</w:t>
      </w:r>
      <w:r w:rsidRPr="00D613A6">
        <w:rPr>
          <w:noProof w:val="0"/>
          <w:color w:val="17365D"/>
        </w:rPr>
        <w:t xml:space="preserve"> publisk</w:t>
      </w:r>
      <w:r w:rsidR="00A23A85" w:rsidRPr="00D613A6">
        <w:rPr>
          <w:noProof w:val="0"/>
          <w:color w:val="17365D"/>
        </w:rPr>
        <w:t>u</w:t>
      </w:r>
      <w:r w:rsidRPr="00D613A6">
        <w:rPr>
          <w:noProof w:val="0"/>
          <w:color w:val="17365D"/>
        </w:rPr>
        <w:t xml:space="preserve"> personu un budžeta nefinansētu iestāžu savstarpējie transferti (izdevumu EKK 7840, ieņēmumu kods 17.4.0.0) –</w:t>
      </w:r>
      <w:r w:rsidRPr="00D613A6">
        <w:rPr>
          <w:color w:val="17365D"/>
        </w:rPr>
        <w:t xml:space="preserve"> </w:t>
      </w:r>
      <w:r w:rsidR="00A75056" w:rsidRPr="00D613A6">
        <w:rPr>
          <w:bCs/>
          <w:noProof w:val="0"/>
          <w:color w:val="17365D"/>
        </w:rPr>
        <w:t>4</w:t>
      </w:r>
      <w:r w:rsidR="00D50FF2" w:rsidRPr="00D613A6">
        <w:rPr>
          <w:bCs/>
          <w:noProof w:val="0"/>
          <w:color w:val="17365D"/>
        </w:rPr>
        <w:t> </w:t>
      </w:r>
      <w:r w:rsidR="00A75056" w:rsidRPr="00D613A6">
        <w:rPr>
          <w:bCs/>
          <w:noProof w:val="0"/>
          <w:color w:val="17365D"/>
        </w:rPr>
        <w:t>3</w:t>
      </w:r>
      <w:r w:rsidR="009C3FA5" w:rsidRPr="00D613A6">
        <w:rPr>
          <w:bCs/>
          <w:noProof w:val="0"/>
          <w:color w:val="17365D"/>
        </w:rPr>
        <w:t>18</w:t>
      </w:r>
      <w:r w:rsidR="00D50FF2" w:rsidRPr="00D613A6">
        <w:rPr>
          <w:bCs/>
          <w:noProof w:val="0"/>
          <w:color w:val="17365D"/>
        </w:rPr>
        <w:t> </w:t>
      </w:r>
      <w:r w:rsidR="00A75056" w:rsidRPr="00D613A6">
        <w:rPr>
          <w:bCs/>
          <w:noProof w:val="0"/>
          <w:color w:val="17365D"/>
        </w:rPr>
        <w:t>250</w:t>
      </w:r>
      <w:r w:rsidR="00D50FF2" w:rsidRPr="00D613A6">
        <w:rPr>
          <w:b/>
          <w:bCs/>
          <w:noProof w:val="0"/>
          <w:color w:val="17365D"/>
        </w:rPr>
        <w:t xml:space="preserve"> </w:t>
      </w:r>
      <w:r w:rsidRPr="00D613A6">
        <w:rPr>
          <w:i/>
          <w:noProof w:val="0"/>
          <w:color w:val="17365D"/>
        </w:rPr>
        <w:t>euro</w:t>
      </w:r>
      <w:r w:rsidRPr="00D613A6">
        <w:rPr>
          <w:noProof w:val="0"/>
          <w:color w:val="17365D"/>
        </w:rPr>
        <w:t xml:space="preserve"> vērtībā.</w:t>
      </w:r>
    </w:p>
    <w:sectPr w:rsidR="00135CD4" w:rsidRPr="00D613A6" w:rsidSect="00A00DF4">
      <w:headerReference w:type="default" r:id="rId19"/>
      <w:footerReference w:type="default" r:id="rId20"/>
      <w:footerReference w:type="first" r:id="rId21"/>
      <w:type w:val="continuous"/>
      <w:pgSz w:w="11906" w:h="16838" w:code="9"/>
      <w:pgMar w:top="1134" w:right="849" w:bottom="1134" w:left="1701" w:header="567" w:footer="567" w:gutter="0"/>
      <w:pgNumType w:start="13"/>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C4D2A1" w16cex:dateUtc="2025-05-06T15:25:00Z"/>
  <w16cex:commentExtensible w16cex:durableId="2BC62BBC" w16cex:dateUtc="2025-05-07T15:58:00Z"/>
  <w16cex:commentExtensible w16cex:durableId="2BC470EB" w16cex:dateUtc="2025-05-06T08:28:00Z"/>
  <w16cex:commentExtensible w16cex:durableId="2BC62C27" w16cex:dateUtc="2025-05-07T15:59:00Z"/>
  <w16cex:commentExtensible w16cex:durableId="2BC62C59" w16cex:dateUtc="2025-05-07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286113" w16cid:durableId="2BC4D2A1"/>
  <w16cid:commentId w16cid:paraId="57B0ABF1" w16cid:durableId="2BC62BBC"/>
  <w16cid:commentId w16cid:paraId="3524D109" w16cid:durableId="2BC470EB"/>
  <w16cid:commentId w16cid:paraId="2E8C3539" w16cid:durableId="2BC62C27"/>
  <w16cid:commentId w16cid:paraId="499358B4" w16cid:durableId="2BC6291D"/>
  <w16cid:commentId w16cid:paraId="7B6A43F5" w16cid:durableId="2BC62C59"/>
  <w16cid:commentId w16cid:paraId="7DD97634" w16cid:durableId="2BC6291E"/>
  <w16cid:commentId w16cid:paraId="2AF3BE6C" w16cid:durableId="2BC6291F"/>
  <w16cid:commentId w16cid:paraId="6B4F92EA" w16cid:durableId="2BC62920"/>
  <w16cid:commentId w16cid:paraId="7E7B5DC7" w16cid:durableId="2BC62921"/>
  <w16cid:commentId w16cid:paraId="62046062" w16cid:durableId="2BC62922"/>
  <w16cid:commentId w16cid:paraId="0352D43E" w16cid:durableId="2BC62923"/>
  <w16cid:commentId w16cid:paraId="06AEF899" w16cid:durableId="2BC62924"/>
  <w16cid:commentId w16cid:paraId="7CC27D7D" w16cid:durableId="2BC62925"/>
  <w16cid:commentId w16cid:paraId="534BE6AC" w16cid:durableId="2BC62926"/>
  <w16cid:commentId w16cid:paraId="535DAECA" w16cid:durableId="2BC629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4B50" w14:textId="77777777" w:rsidR="000A5BFC" w:rsidRDefault="000A5BFC">
      <w:pPr>
        <w:spacing w:after="0"/>
      </w:pPr>
      <w:r>
        <w:separator/>
      </w:r>
    </w:p>
  </w:endnote>
  <w:endnote w:type="continuationSeparator" w:id="0">
    <w:p w14:paraId="3236FDDB" w14:textId="77777777" w:rsidR="000A5BFC" w:rsidRDefault="000A5BFC">
      <w:pPr>
        <w:spacing w:after="0"/>
      </w:pPr>
      <w:r>
        <w:continuationSeparator/>
      </w:r>
    </w:p>
  </w:endnote>
  <w:endnote w:type="continuationNotice" w:id="1">
    <w:p w14:paraId="08A97A26" w14:textId="77777777" w:rsidR="000A5BFC" w:rsidRDefault="000A5B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3503" w14:textId="65F9ACAD" w:rsidR="000A5BFC" w:rsidRPr="0075048B" w:rsidRDefault="000A5BFC" w:rsidP="00062C52">
    <w:pPr>
      <w:pStyle w:val="Footer"/>
      <w:tabs>
        <w:tab w:val="clear" w:pos="8306"/>
        <w:tab w:val="right" w:pos="9356"/>
      </w:tabs>
      <w:ind w:right="-2"/>
      <w:jc w:val="both"/>
      <w:rPr>
        <w:color w:val="17365D"/>
        <w:szCs w:val="20"/>
      </w:rPr>
    </w:pPr>
    <w:r w:rsidRPr="00987EAE">
      <w:rPr>
        <w:noProof/>
        <w:sz w:val="24"/>
      </w:rPr>
      <mc:AlternateContent>
        <mc:Choice Requires="wps">
          <w:drawing>
            <wp:anchor distT="0" distB="0" distL="114300" distR="114300" simplePos="0" relativeHeight="251658240" behindDoc="0" locked="0" layoutInCell="1" allowOverlap="1" wp14:anchorId="2F9FBF74" wp14:editId="0579D179">
              <wp:simplePos x="0" y="0"/>
              <wp:positionH relativeFrom="column">
                <wp:posOffset>-172720</wp:posOffset>
              </wp:positionH>
              <wp:positionV relativeFrom="paragraph">
                <wp:posOffset>-165735</wp:posOffset>
              </wp:positionV>
              <wp:extent cx="5684400" cy="446400"/>
              <wp:effectExtent l="0" t="0" r="0" b="0"/>
              <wp:wrapNone/>
              <wp:docPr id="1" name="Rounded Rectangle 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3AB5AB37" w14:textId="2738BF14" w:rsidR="000A5BFC" w:rsidRPr="001929A9" w:rsidRDefault="000A5BFC" w:rsidP="00B41D22">
                          <w:pPr>
                            <w:pStyle w:val="BodyText"/>
                            <w:spacing w:after="0"/>
                            <w:jc w:val="center"/>
                            <w:rPr>
                              <w:color w:val="17365D"/>
                              <w:sz w:val="20"/>
                              <w:szCs w:val="20"/>
                            </w:rPr>
                          </w:pPr>
                          <w:r>
                            <w:rPr>
                              <w:color w:val="17365D"/>
                              <w:sz w:val="20"/>
                              <w:szCs w:val="20"/>
                            </w:rPr>
                            <w:t>2_05_</w:t>
                          </w:r>
                          <w:r w:rsidRPr="001929A9">
                            <w:rPr>
                              <w:color w:val="17365D"/>
                              <w:sz w:val="20"/>
                              <w:szCs w:val="20"/>
                            </w:rPr>
                            <w:t>FMInf_6sk_1</w:t>
                          </w:r>
                          <w:r>
                            <w:rPr>
                              <w:color w:val="17365D"/>
                              <w:sz w:val="20"/>
                              <w:szCs w:val="20"/>
                            </w:rPr>
                            <w:t>6</w:t>
                          </w:r>
                          <w:r w:rsidRPr="001929A9">
                            <w:rPr>
                              <w:color w:val="17365D"/>
                              <w:sz w:val="20"/>
                              <w:szCs w:val="20"/>
                            </w:rPr>
                            <w:t>0</w:t>
                          </w:r>
                          <w:r>
                            <w:rPr>
                              <w:color w:val="17365D"/>
                              <w:sz w:val="20"/>
                              <w:szCs w:val="20"/>
                            </w:rPr>
                            <w:t>525</w:t>
                          </w:r>
                          <w:r w:rsidRPr="001929A9">
                            <w:rPr>
                              <w:color w:val="17365D"/>
                              <w:sz w:val="20"/>
                              <w:szCs w:val="20"/>
                            </w:rPr>
                            <w:t>; Latvij</w:t>
                          </w:r>
                          <w:r>
                            <w:rPr>
                              <w:color w:val="17365D"/>
                              <w:sz w:val="20"/>
                              <w:szCs w:val="20"/>
                            </w:rPr>
                            <w:t>as Republikas konsolidētais 2024</w:t>
                          </w:r>
                          <w:r w:rsidRPr="001929A9">
                            <w:rPr>
                              <w:color w:val="17365D"/>
                              <w:sz w:val="20"/>
                              <w:szCs w:val="20"/>
                            </w:rPr>
                            <w:t>. gada pārskats; 2. sējums</w:t>
                          </w:r>
                          <w:r w:rsidR="00B41D22">
                            <w:rPr>
                              <w:color w:val="17365D"/>
                              <w:sz w:val="20"/>
                              <w:szCs w:val="20"/>
                            </w:rPr>
                            <w:t xml:space="preserve"> (neauditēts)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FBF74" id="Rounded Rectangle 1" o:spid="_x0000_s1036" style="position:absolute;left:0;text-align:left;margin-left:-13.6pt;margin-top:-13.0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htgQIAAAE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" fillcolor="#dce6f2" stroked="f" strokeweight="1pt">
              <v:stroke dashstyle="dash"/>
              <v:textbox>
                <w:txbxContent>
                  <w:p w14:paraId="3AB5AB37" w14:textId="2738BF14" w:rsidR="000A5BFC" w:rsidRPr="001929A9" w:rsidRDefault="000A5BFC" w:rsidP="00B41D22">
                    <w:pPr>
                      <w:pStyle w:val="BodyText"/>
                      <w:spacing w:after="0"/>
                      <w:jc w:val="center"/>
                      <w:rPr>
                        <w:color w:val="17365D"/>
                        <w:sz w:val="20"/>
                        <w:szCs w:val="20"/>
                      </w:rPr>
                    </w:pPr>
                    <w:r>
                      <w:rPr>
                        <w:color w:val="17365D"/>
                        <w:sz w:val="20"/>
                        <w:szCs w:val="20"/>
                      </w:rPr>
                      <w:t>2_05_</w:t>
                    </w:r>
                    <w:r w:rsidRPr="001929A9">
                      <w:rPr>
                        <w:color w:val="17365D"/>
                        <w:sz w:val="20"/>
                        <w:szCs w:val="20"/>
                      </w:rPr>
                      <w:t>FMInf_6sk_1</w:t>
                    </w:r>
                    <w:r>
                      <w:rPr>
                        <w:color w:val="17365D"/>
                        <w:sz w:val="20"/>
                        <w:szCs w:val="20"/>
                      </w:rPr>
                      <w:t>6</w:t>
                    </w:r>
                    <w:r w:rsidRPr="001929A9">
                      <w:rPr>
                        <w:color w:val="17365D"/>
                        <w:sz w:val="20"/>
                        <w:szCs w:val="20"/>
                      </w:rPr>
                      <w:t>0</w:t>
                    </w:r>
                    <w:r>
                      <w:rPr>
                        <w:color w:val="17365D"/>
                        <w:sz w:val="20"/>
                        <w:szCs w:val="20"/>
                      </w:rPr>
                      <w:t>525</w:t>
                    </w:r>
                    <w:r w:rsidRPr="001929A9">
                      <w:rPr>
                        <w:color w:val="17365D"/>
                        <w:sz w:val="20"/>
                        <w:szCs w:val="20"/>
                      </w:rPr>
                      <w:t>; Latvij</w:t>
                    </w:r>
                    <w:r>
                      <w:rPr>
                        <w:color w:val="17365D"/>
                        <w:sz w:val="20"/>
                        <w:szCs w:val="20"/>
                      </w:rPr>
                      <w:t>as Republikas konsolidētais 2024</w:t>
                    </w:r>
                    <w:r w:rsidRPr="001929A9">
                      <w:rPr>
                        <w:color w:val="17365D"/>
                        <w:sz w:val="20"/>
                        <w:szCs w:val="20"/>
                      </w:rPr>
                      <w:t>. gada pārskats; 2. sējums</w:t>
                    </w:r>
                    <w:r w:rsidR="00B41D22">
                      <w:rPr>
                        <w:color w:val="17365D"/>
                        <w:sz w:val="20"/>
                        <w:szCs w:val="20"/>
                      </w:rPr>
                      <w:t xml:space="preserve"> (neauditēts)</w:t>
                    </w:r>
                  </w:p>
                </w:txbxContent>
              </v:textbox>
            </v:roundrect>
          </w:pict>
        </mc:Fallback>
      </mc:AlternateContent>
    </w:r>
    <w:r w:rsidRPr="0096121A">
      <w:rPr>
        <w:noProof/>
        <w:color w:val="17365D" w:themeColor="text2" w:themeShade="BF"/>
      </w:rPr>
      <mc:AlternateContent>
        <mc:Choice Requires="wps">
          <w:drawing>
            <wp:anchor distT="0" distB="0" distL="114300" distR="114300" simplePos="0" relativeHeight="251658241" behindDoc="1" locked="0" layoutInCell="1" allowOverlap="1" wp14:anchorId="47DE4F2A" wp14:editId="753D67F3">
              <wp:simplePos x="0" y="0"/>
              <wp:positionH relativeFrom="column">
                <wp:posOffset>5656580</wp:posOffset>
              </wp:positionH>
              <wp:positionV relativeFrom="paragraph">
                <wp:posOffset>-79375</wp:posOffset>
              </wp:positionV>
              <wp:extent cx="457200" cy="280800"/>
              <wp:effectExtent l="0" t="0" r="0" b="5080"/>
              <wp:wrapNone/>
              <wp:docPr id="8" name="Rounded Rectangle 8"/>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E7A5D01" id="Rounded Rectangle 8" o:spid="_x0000_s1026" style="position:absolute;margin-left:445.4pt;margin-top:-6.25pt;width:36pt;height:2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MP1j4O3&#10;AgAA8Q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Pr>
        <w:szCs w:val="20"/>
      </w:rPr>
      <w:tab/>
    </w:r>
    <w:r>
      <w:rPr>
        <w:szCs w:val="20"/>
      </w:rPr>
      <w:tab/>
      <w:t xml:space="preserve"> </w:t>
    </w:r>
    <w:r w:rsidRPr="0075048B">
      <w:rPr>
        <w:color w:val="17365D"/>
        <w:szCs w:val="20"/>
      </w:rPr>
      <w:fldChar w:fldCharType="begin"/>
    </w:r>
    <w:r w:rsidRPr="0075048B">
      <w:rPr>
        <w:color w:val="17365D"/>
        <w:szCs w:val="20"/>
      </w:rPr>
      <w:instrText xml:space="preserve"> PAGE   \* MERGEFORMAT </w:instrText>
    </w:r>
    <w:r w:rsidRPr="0075048B">
      <w:rPr>
        <w:color w:val="17365D"/>
        <w:szCs w:val="20"/>
      </w:rPr>
      <w:fldChar w:fldCharType="separate"/>
    </w:r>
    <w:r w:rsidR="00B41D22">
      <w:rPr>
        <w:noProof/>
        <w:color w:val="17365D"/>
        <w:szCs w:val="20"/>
      </w:rPr>
      <w:t>16</w:t>
    </w:r>
    <w:r w:rsidRPr="0075048B">
      <w:rPr>
        <w:noProof/>
        <w:color w:val="17365D"/>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E271B" w14:textId="5A82417F" w:rsidR="000A5BFC" w:rsidRDefault="000A5BFC" w:rsidP="005C7C9F">
    <w:pPr>
      <w:pStyle w:val="Footer"/>
      <w:tabs>
        <w:tab w:val="clear" w:pos="4153"/>
        <w:tab w:val="clear" w:pos="8306"/>
        <w:tab w:val="left" w:pos="8853"/>
        <w:tab w:val="right" w:pos="9354"/>
      </w:tabs>
    </w:pPr>
    <w:r w:rsidRPr="0075048B">
      <w:rPr>
        <w:noProof/>
      </w:rPr>
      <mc:AlternateContent>
        <mc:Choice Requires="wps">
          <w:drawing>
            <wp:anchor distT="0" distB="0" distL="114300" distR="114300" simplePos="0" relativeHeight="251658243" behindDoc="1" locked="0" layoutInCell="1" allowOverlap="1" wp14:anchorId="48E3376D" wp14:editId="098B8EB2">
              <wp:simplePos x="0" y="0"/>
              <wp:positionH relativeFrom="column">
                <wp:posOffset>5656580</wp:posOffset>
              </wp:positionH>
              <wp:positionV relativeFrom="paragraph">
                <wp:posOffset>-79375</wp:posOffset>
              </wp:positionV>
              <wp:extent cx="457200" cy="280800"/>
              <wp:effectExtent l="0" t="0" r="0" b="5080"/>
              <wp:wrapNone/>
              <wp:docPr id="12" name="Rounded Rectangle 12"/>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A898142" id="Rounded Rectangle 12" o:spid="_x0000_s1026" style="position:absolute;margin-left:445.4pt;margin-top:-6.25pt;width:36pt;height:22.1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PVCEDy3&#10;AgAA8w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sidRPr="0075048B">
      <w:rPr>
        <w:noProof/>
      </w:rPr>
      <mc:AlternateContent>
        <mc:Choice Requires="wps">
          <w:drawing>
            <wp:anchor distT="0" distB="0" distL="114300" distR="114300" simplePos="0" relativeHeight="251658242" behindDoc="0" locked="0" layoutInCell="1" allowOverlap="1" wp14:anchorId="4A5CF742" wp14:editId="1433EDA4">
              <wp:simplePos x="0" y="0"/>
              <wp:positionH relativeFrom="column">
                <wp:posOffset>-172720</wp:posOffset>
              </wp:positionH>
              <wp:positionV relativeFrom="paragraph">
                <wp:posOffset>-165735</wp:posOffset>
              </wp:positionV>
              <wp:extent cx="5684400" cy="446400"/>
              <wp:effectExtent l="0" t="0" r="0" b="0"/>
              <wp:wrapNone/>
              <wp:docPr id="11" name="Rounded Rectangle 1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258B7BB7" w14:textId="300C3E02" w:rsidR="000A5BFC" w:rsidRPr="001929A9" w:rsidRDefault="000A5BFC" w:rsidP="00B41D22">
                          <w:pPr>
                            <w:pStyle w:val="BodyText"/>
                            <w:spacing w:after="0"/>
                            <w:jc w:val="center"/>
                            <w:rPr>
                              <w:color w:val="17365D"/>
                              <w:sz w:val="20"/>
                              <w:szCs w:val="20"/>
                            </w:rPr>
                          </w:pPr>
                          <w:r>
                            <w:rPr>
                              <w:color w:val="17365D"/>
                              <w:sz w:val="20"/>
                              <w:szCs w:val="20"/>
                            </w:rPr>
                            <w:t>2_05_FMInf_6sk_160525</w:t>
                          </w:r>
                          <w:r w:rsidRPr="001929A9">
                            <w:rPr>
                              <w:color w:val="17365D"/>
                              <w:sz w:val="20"/>
                              <w:szCs w:val="20"/>
                            </w:rPr>
                            <w:t>; Latvij</w:t>
                          </w:r>
                          <w:r>
                            <w:rPr>
                              <w:color w:val="17365D"/>
                              <w:sz w:val="20"/>
                              <w:szCs w:val="20"/>
                            </w:rPr>
                            <w:t>as Republikas konsolidētais 2025</w:t>
                          </w:r>
                          <w:r w:rsidRPr="001929A9">
                            <w:rPr>
                              <w:color w:val="17365D"/>
                              <w:sz w:val="20"/>
                              <w:szCs w:val="20"/>
                            </w:rPr>
                            <w:t>. gada pārskats; 2. sējums</w:t>
                          </w:r>
                          <w:r w:rsidR="00B41D22">
                            <w:rPr>
                              <w:color w:val="17365D"/>
                              <w:sz w:val="20"/>
                              <w:szCs w:val="20"/>
                            </w:rPr>
                            <w:t xml:space="preserve"> (neauditēts)</w:t>
                          </w:r>
                        </w:p>
                        <w:p w14:paraId="61EDD344" w14:textId="7DEDC42A" w:rsidR="000A5BFC" w:rsidRPr="0075048B" w:rsidRDefault="000A5BFC" w:rsidP="00952885">
                          <w:pPr>
                            <w:ind w:firstLine="0"/>
                            <w:jc w:val="center"/>
                            <w:rPr>
                              <w:color w:val="17365D"/>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CF742" id="Rounded Rectangle 11" o:spid="_x0000_s1037" style="position:absolute;margin-left:-13.6pt;margin-top:-13.05pt;width:447.6pt;height:35.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0eMhQIAAAo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" fillcolor="#dce6f2" stroked="f" strokeweight="1pt">
              <v:stroke dashstyle="dash"/>
              <v:textbox>
                <w:txbxContent>
                  <w:p w14:paraId="258B7BB7" w14:textId="300C3E02" w:rsidR="000A5BFC" w:rsidRPr="001929A9" w:rsidRDefault="000A5BFC" w:rsidP="00B41D22">
                    <w:pPr>
                      <w:pStyle w:val="BodyText"/>
                      <w:spacing w:after="0"/>
                      <w:jc w:val="center"/>
                      <w:rPr>
                        <w:color w:val="17365D"/>
                        <w:sz w:val="20"/>
                        <w:szCs w:val="20"/>
                      </w:rPr>
                    </w:pPr>
                    <w:r>
                      <w:rPr>
                        <w:color w:val="17365D"/>
                        <w:sz w:val="20"/>
                        <w:szCs w:val="20"/>
                      </w:rPr>
                      <w:t>2_05_FMInf_6sk_160525</w:t>
                    </w:r>
                    <w:r w:rsidRPr="001929A9">
                      <w:rPr>
                        <w:color w:val="17365D"/>
                        <w:sz w:val="20"/>
                        <w:szCs w:val="20"/>
                      </w:rPr>
                      <w:t>; Latvij</w:t>
                    </w:r>
                    <w:r>
                      <w:rPr>
                        <w:color w:val="17365D"/>
                        <w:sz w:val="20"/>
                        <w:szCs w:val="20"/>
                      </w:rPr>
                      <w:t>as Republikas konsolidētais 2025</w:t>
                    </w:r>
                    <w:r w:rsidRPr="001929A9">
                      <w:rPr>
                        <w:color w:val="17365D"/>
                        <w:sz w:val="20"/>
                        <w:szCs w:val="20"/>
                      </w:rPr>
                      <w:t>. gada pārskats; 2. sējums</w:t>
                    </w:r>
                    <w:r w:rsidR="00B41D22">
                      <w:rPr>
                        <w:color w:val="17365D"/>
                        <w:sz w:val="20"/>
                        <w:szCs w:val="20"/>
                      </w:rPr>
                      <w:t xml:space="preserve"> (neauditēts)</w:t>
                    </w:r>
                  </w:p>
                  <w:p w14:paraId="61EDD344" w14:textId="7DEDC42A" w:rsidR="000A5BFC" w:rsidRPr="0075048B" w:rsidRDefault="000A5BFC" w:rsidP="00952885">
                    <w:pPr>
                      <w:ind w:firstLine="0"/>
                      <w:jc w:val="center"/>
                      <w:rPr>
                        <w:color w:val="17365D"/>
                        <w:sz w:val="20"/>
                        <w:szCs w:val="20"/>
                      </w:rPr>
                    </w:pPr>
                  </w:p>
                </w:txbxContent>
              </v:textbox>
            </v:roundrect>
          </w:pict>
        </mc:Fallback>
      </mc:AlternateContent>
    </w:r>
    <w:r>
      <w:rPr>
        <w:color w:val="17365D"/>
      </w:rPr>
      <w:t>13</w:t>
    </w:r>
    <w:r>
      <w:rPr>
        <w:color w:val="17365D"/>
      </w:rPr>
      <w:tab/>
      <w:t xml:space="preserve"> </w:t>
    </w:r>
    <w:r>
      <w:rPr>
        <w:color w:val="17365D"/>
      </w:rPr>
      <w:tab/>
      <w:t>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416B0" w14:textId="77777777" w:rsidR="000A5BFC" w:rsidRPr="0037200B" w:rsidRDefault="000A5BFC">
      <w:pPr>
        <w:spacing w:after="0"/>
        <w:rPr>
          <w:color w:val="17365D"/>
        </w:rPr>
      </w:pPr>
      <w:r w:rsidRPr="0037200B">
        <w:rPr>
          <w:color w:val="17365D"/>
        </w:rPr>
        <w:separator/>
      </w:r>
    </w:p>
  </w:footnote>
  <w:footnote w:type="continuationSeparator" w:id="0">
    <w:p w14:paraId="0031B7DB" w14:textId="77777777" w:rsidR="000A5BFC" w:rsidRDefault="000A5BFC">
      <w:pPr>
        <w:spacing w:after="0"/>
      </w:pPr>
      <w:r>
        <w:continuationSeparator/>
      </w:r>
    </w:p>
  </w:footnote>
  <w:footnote w:type="continuationNotice" w:id="1">
    <w:p w14:paraId="20EF05A5" w14:textId="77777777" w:rsidR="000A5BFC" w:rsidRDefault="000A5BFC">
      <w:pPr>
        <w:spacing w:after="0"/>
      </w:pPr>
    </w:p>
  </w:footnote>
  <w:footnote w:id="2">
    <w:p w14:paraId="18208F7C" w14:textId="7FE4D885" w:rsidR="000A5BFC" w:rsidRPr="00F06476" w:rsidRDefault="000A5BFC">
      <w:pPr>
        <w:pStyle w:val="FootnoteText"/>
        <w:rPr>
          <w:color w:val="17365D"/>
        </w:rPr>
      </w:pPr>
      <w:r w:rsidRPr="00C939EF">
        <w:rPr>
          <w:rStyle w:val="FootnoteReference"/>
          <w:color w:val="17365D"/>
        </w:rPr>
        <w:footnoteRef/>
      </w:r>
      <w:r w:rsidRPr="00C939EF">
        <w:rPr>
          <w:color w:val="17365D"/>
        </w:rPr>
        <w:t xml:space="preserve"> Budžeta nefinansētas institūcijas: valsts aģentūra “Civilās aviācijas aģentūra”, valsts aģentūra “Valsts dzelzceļa tehniskā inspekcija”, Latvijas Republikas Valsts dzelzceļa administrācija, </w:t>
      </w:r>
      <w:r>
        <w:rPr>
          <w:color w:val="17365D"/>
        </w:rPr>
        <w:t xml:space="preserve">Transporta nelaimes gadījumu un </w:t>
      </w:r>
      <w:r w:rsidRPr="00F06476">
        <w:rPr>
          <w:color w:val="17365D"/>
        </w:rPr>
        <w:t>incidentu izmeklēšanas birojs, Zāļu valsts aģentūra, Patentu valde un valsts aģentūra “Latvijas Nacionālais akreditācijas birojs”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93EF" w14:textId="3E321E4D" w:rsidR="000A5BFC" w:rsidRPr="00C32586" w:rsidRDefault="000A5BFC" w:rsidP="00413C98">
    <w:pPr>
      <w:spacing w:after="300"/>
      <w:ind w:left="-284" w:firstLine="0"/>
      <w:jc w:val="center"/>
      <w:rPr>
        <w:rFonts w:eastAsiaTheme="majorEastAsia" w:cstheme="majorBidi"/>
        <w:caps/>
        <w:color w:val="012169"/>
        <w:spacing w:val="5"/>
        <w:kern w:val="28"/>
        <w:sz w:val="20"/>
        <w:szCs w:val="20"/>
      </w:rPr>
    </w:pPr>
    <w:r w:rsidRPr="00C32586">
      <w:rPr>
        <w:rFonts w:eastAsiaTheme="majorEastAsia" w:cstheme="majorBidi"/>
        <w:caps/>
        <w:color w:val="012169"/>
        <w:spacing w:val="5"/>
        <w:kern w:val="28"/>
        <w:sz w:val="20"/>
        <w:szCs w:val="20"/>
      </w:rPr>
      <w:t xml:space="preserve">Skaidrojums par </w:t>
    </w:r>
    <w:r>
      <w:rPr>
        <w:rFonts w:eastAsiaTheme="majorEastAsia" w:cstheme="majorBidi"/>
        <w:caps/>
        <w:color w:val="012169"/>
        <w:spacing w:val="5"/>
        <w:kern w:val="28"/>
        <w:sz w:val="20"/>
        <w:szCs w:val="20"/>
      </w:rPr>
      <w:t>KONSOLIDĒTO VALSTS</w:t>
    </w:r>
    <w:r w:rsidRPr="00C32586">
      <w:rPr>
        <w:rFonts w:eastAsiaTheme="majorEastAsia" w:cstheme="majorBidi"/>
        <w:caps/>
        <w:color w:val="012169"/>
        <w:spacing w:val="5"/>
        <w:kern w:val="28"/>
        <w:sz w:val="20"/>
        <w:szCs w:val="20"/>
      </w:rPr>
      <w:t xml:space="preserve"> budžet</w:t>
    </w:r>
    <w:r>
      <w:rPr>
        <w:rFonts w:eastAsiaTheme="majorEastAsia" w:cstheme="majorBidi"/>
        <w:caps/>
        <w:color w:val="012169"/>
        <w:spacing w:val="5"/>
        <w:kern w:val="28"/>
        <w:sz w:val="20"/>
        <w:szCs w:val="20"/>
      </w:rPr>
      <w:t>A</w:t>
    </w:r>
    <w:r w:rsidRPr="00C32586">
      <w:rPr>
        <w:rFonts w:eastAsiaTheme="majorEastAsia" w:cstheme="majorBidi"/>
        <w:caps/>
        <w:color w:val="012169"/>
        <w:spacing w:val="5"/>
        <w:kern w:val="28"/>
        <w:sz w:val="20"/>
        <w:szCs w:val="20"/>
      </w:rPr>
      <w:t xml:space="preserve">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4A94"/>
    <w:multiLevelType w:val="hybridMultilevel"/>
    <w:tmpl w:val="4CFCD4B6"/>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1" w15:restartNumberingAfterBreak="0">
    <w:nsid w:val="0E626835"/>
    <w:multiLevelType w:val="hybridMultilevel"/>
    <w:tmpl w:val="0E4E1938"/>
    <w:lvl w:ilvl="0" w:tplc="04260001">
      <w:start w:val="1"/>
      <w:numFmt w:val="bullet"/>
      <w:lvlText w:val=""/>
      <w:lvlJc w:val="left"/>
      <w:pPr>
        <w:ind w:left="1347" w:hanging="360"/>
      </w:pPr>
      <w:rPr>
        <w:rFonts w:ascii="Symbol" w:hAnsi="Symbol" w:hint="default"/>
      </w:rPr>
    </w:lvl>
    <w:lvl w:ilvl="1" w:tplc="04260003" w:tentative="1">
      <w:start w:val="1"/>
      <w:numFmt w:val="bullet"/>
      <w:lvlText w:val="o"/>
      <w:lvlJc w:val="left"/>
      <w:pPr>
        <w:ind w:left="2067" w:hanging="360"/>
      </w:pPr>
      <w:rPr>
        <w:rFonts w:ascii="Courier New" w:hAnsi="Courier New" w:cs="Courier New" w:hint="default"/>
      </w:rPr>
    </w:lvl>
    <w:lvl w:ilvl="2" w:tplc="04260005" w:tentative="1">
      <w:start w:val="1"/>
      <w:numFmt w:val="bullet"/>
      <w:lvlText w:val=""/>
      <w:lvlJc w:val="left"/>
      <w:pPr>
        <w:ind w:left="2787" w:hanging="360"/>
      </w:pPr>
      <w:rPr>
        <w:rFonts w:ascii="Wingdings" w:hAnsi="Wingdings" w:hint="default"/>
      </w:rPr>
    </w:lvl>
    <w:lvl w:ilvl="3" w:tplc="04260001" w:tentative="1">
      <w:start w:val="1"/>
      <w:numFmt w:val="bullet"/>
      <w:lvlText w:val=""/>
      <w:lvlJc w:val="left"/>
      <w:pPr>
        <w:ind w:left="3507" w:hanging="360"/>
      </w:pPr>
      <w:rPr>
        <w:rFonts w:ascii="Symbol" w:hAnsi="Symbol" w:hint="default"/>
      </w:rPr>
    </w:lvl>
    <w:lvl w:ilvl="4" w:tplc="04260003" w:tentative="1">
      <w:start w:val="1"/>
      <w:numFmt w:val="bullet"/>
      <w:lvlText w:val="o"/>
      <w:lvlJc w:val="left"/>
      <w:pPr>
        <w:ind w:left="4227" w:hanging="360"/>
      </w:pPr>
      <w:rPr>
        <w:rFonts w:ascii="Courier New" w:hAnsi="Courier New" w:cs="Courier New" w:hint="default"/>
      </w:rPr>
    </w:lvl>
    <w:lvl w:ilvl="5" w:tplc="04260005" w:tentative="1">
      <w:start w:val="1"/>
      <w:numFmt w:val="bullet"/>
      <w:lvlText w:val=""/>
      <w:lvlJc w:val="left"/>
      <w:pPr>
        <w:ind w:left="4947" w:hanging="360"/>
      </w:pPr>
      <w:rPr>
        <w:rFonts w:ascii="Wingdings" w:hAnsi="Wingdings" w:hint="default"/>
      </w:rPr>
    </w:lvl>
    <w:lvl w:ilvl="6" w:tplc="04260001" w:tentative="1">
      <w:start w:val="1"/>
      <w:numFmt w:val="bullet"/>
      <w:lvlText w:val=""/>
      <w:lvlJc w:val="left"/>
      <w:pPr>
        <w:ind w:left="5667" w:hanging="360"/>
      </w:pPr>
      <w:rPr>
        <w:rFonts w:ascii="Symbol" w:hAnsi="Symbol" w:hint="default"/>
      </w:rPr>
    </w:lvl>
    <w:lvl w:ilvl="7" w:tplc="04260003" w:tentative="1">
      <w:start w:val="1"/>
      <w:numFmt w:val="bullet"/>
      <w:lvlText w:val="o"/>
      <w:lvlJc w:val="left"/>
      <w:pPr>
        <w:ind w:left="6387" w:hanging="360"/>
      </w:pPr>
      <w:rPr>
        <w:rFonts w:ascii="Courier New" w:hAnsi="Courier New" w:cs="Courier New" w:hint="default"/>
      </w:rPr>
    </w:lvl>
    <w:lvl w:ilvl="8" w:tplc="04260005" w:tentative="1">
      <w:start w:val="1"/>
      <w:numFmt w:val="bullet"/>
      <w:lvlText w:val=""/>
      <w:lvlJc w:val="left"/>
      <w:pPr>
        <w:ind w:left="7107" w:hanging="360"/>
      </w:pPr>
      <w:rPr>
        <w:rFonts w:ascii="Wingdings" w:hAnsi="Wingdings" w:hint="default"/>
      </w:rPr>
    </w:lvl>
  </w:abstractNum>
  <w:abstractNum w:abstractNumId="2" w15:restartNumberingAfterBreak="0">
    <w:nsid w:val="246A2BDD"/>
    <w:multiLevelType w:val="multilevel"/>
    <w:tmpl w:val="F852F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E547E20"/>
    <w:multiLevelType w:val="hybridMultilevel"/>
    <w:tmpl w:val="A518175E"/>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5"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6" w15:restartNumberingAfterBreak="0">
    <w:nsid w:val="32A228B3"/>
    <w:multiLevelType w:val="hybridMultilevel"/>
    <w:tmpl w:val="623AE5B4"/>
    <w:lvl w:ilvl="0" w:tplc="04260001">
      <w:start w:val="1"/>
      <w:numFmt w:val="bullet"/>
      <w:lvlText w:val=""/>
      <w:lvlJc w:val="left"/>
      <w:pPr>
        <w:ind w:left="928"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7"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9" w15:restartNumberingAfterBreak="0">
    <w:nsid w:val="6D3C5635"/>
    <w:multiLevelType w:val="hybridMultilevel"/>
    <w:tmpl w:val="4FC01128"/>
    <w:lvl w:ilvl="0" w:tplc="67C43640">
      <w:start w:val="1"/>
      <w:numFmt w:val="bullet"/>
      <w:pStyle w:val="Bullets"/>
      <w:lvlText w:val=""/>
      <w:lvlJc w:val="left"/>
      <w:pPr>
        <w:ind w:left="1211"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15:restartNumberingAfterBreak="0">
    <w:nsid w:val="7253354C"/>
    <w:multiLevelType w:val="multilevel"/>
    <w:tmpl w:val="B26EA2C6"/>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5"/>
  </w:num>
  <w:num w:numId="4">
    <w:abstractNumId w:val="8"/>
  </w:num>
  <w:num w:numId="5">
    <w:abstractNumId w:val="9"/>
  </w:num>
  <w:num w:numId="6">
    <w:abstractNumId w:val="6"/>
  </w:num>
  <w:num w:numId="7">
    <w:abstractNumId w:val="9"/>
  </w:num>
  <w:num w:numId="8">
    <w:abstractNumId w:val="4"/>
  </w:num>
  <w:num w:numId="9">
    <w:abstractNumId w:val="10"/>
  </w:num>
  <w:num w:numId="10">
    <w:abstractNumId w:val="2"/>
  </w:num>
  <w:num w:numId="11">
    <w:abstractNumId w:val="0"/>
  </w:num>
  <w:num w:numId="12">
    <w:abstractNumId w:val="1"/>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hideSpellingErrors/>
  <w:defaultTabStop w:val="720"/>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82A"/>
    <w:rsid w:val="000007C4"/>
    <w:rsid w:val="00000A23"/>
    <w:rsid w:val="00001C35"/>
    <w:rsid w:val="00001ECC"/>
    <w:rsid w:val="00002546"/>
    <w:rsid w:val="00002BFC"/>
    <w:rsid w:val="00003148"/>
    <w:rsid w:val="000034E8"/>
    <w:rsid w:val="00003995"/>
    <w:rsid w:val="00003D6B"/>
    <w:rsid w:val="00005DF2"/>
    <w:rsid w:val="00006082"/>
    <w:rsid w:val="000073BA"/>
    <w:rsid w:val="00007743"/>
    <w:rsid w:val="00007A22"/>
    <w:rsid w:val="00010513"/>
    <w:rsid w:val="000107D7"/>
    <w:rsid w:val="0001123B"/>
    <w:rsid w:val="000113A4"/>
    <w:rsid w:val="000116C6"/>
    <w:rsid w:val="0001204A"/>
    <w:rsid w:val="00012085"/>
    <w:rsid w:val="00012111"/>
    <w:rsid w:val="000128DB"/>
    <w:rsid w:val="00012A70"/>
    <w:rsid w:val="00012F5B"/>
    <w:rsid w:val="00013167"/>
    <w:rsid w:val="00013211"/>
    <w:rsid w:val="00016915"/>
    <w:rsid w:val="00017ED4"/>
    <w:rsid w:val="0002031A"/>
    <w:rsid w:val="0002124B"/>
    <w:rsid w:val="000214C7"/>
    <w:rsid w:val="000220A8"/>
    <w:rsid w:val="000228DD"/>
    <w:rsid w:val="00023B16"/>
    <w:rsid w:val="00023B7A"/>
    <w:rsid w:val="000245AA"/>
    <w:rsid w:val="000245C9"/>
    <w:rsid w:val="00025B12"/>
    <w:rsid w:val="00025B3E"/>
    <w:rsid w:val="0002625D"/>
    <w:rsid w:val="000264D0"/>
    <w:rsid w:val="00026661"/>
    <w:rsid w:val="00026A26"/>
    <w:rsid w:val="00026D5A"/>
    <w:rsid w:val="00026F25"/>
    <w:rsid w:val="00027730"/>
    <w:rsid w:val="000278EF"/>
    <w:rsid w:val="00030177"/>
    <w:rsid w:val="00030B4E"/>
    <w:rsid w:val="000321C6"/>
    <w:rsid w:val="000322DC"/>
    <w:rsid w:val="00032CEE"/>
    <w:rsid w:val="000336CD"/>
    <w:rsid w:val="0003376F"/>
    <w:rsid w:val="00034987"/>
    <w:rsid w:val="00034E1D"/>
    <w:rsid w:val="00034F0E"/>
    <w:rsid w:val="00036D48"/>
    <w:rsid w:val="00037178"/>
    <w:rsid w:val="000377F3"/>
    <w:rsid w:val="00037E94"/>
    <w:rsid w:val="0004035C"/>
    <w:rsid w:val="00040475"/>
    <w:rsid w:val="000405D3"/>
    <w:rsid w:val="00040A87"/>
    <w:rsid w:val="00040AB1"/>
    <w:rsid w:val="00040E88"/>
    <w:rsid w:val="000418D2"/>
    <w:rsid w:val="00042B43"/>
    <w:rsid w:val="00042DF8"/>
    <w:rsid w:val="000435FC"/>
    <w:rsid w:val="00043910"/>
    <w:rsid w:val="00043AFD"/>
    <w:rsid w:val="00043F8F"/>
    <w:rsid w:val="000443AA"/>
    <w:rsid w:val="000443D8"/>
    <w:rsid w:val="00044AE8"/>
    <w:rsid w:val="000452CC"/>
    <w:rsid w:val="00045E74"/>
    <w:rsid w:val="00045FE8"/>
    <w:rsid w:val="00046B61"/>
    <w:rsid w:val="00046FA2"/>
    <w:rsid w:val="0005004F"/>
    <w:rsid w:val="00051014"/>
    <w:rsid w:val="00051378"/>
    <w:rsid w:val="00051B15"/>
    <w:rsid w:val="00051E0E"/>
    <w:rsid w:val="0005326D"/>
    <w:rsid w:val="00053DD1"/>
    <w:rsid w:val="00053E72"/>
    <w:rsid w:val="00054896"/>
    <w:rsid w:val="000551CD"/>
    <w:rsid w:val="00055C2B"/>
    <w:rsid w:val="00055CF1"/>
    <w:rsid w:val="00056298"/>
    <w:rsid w:val="0005675C"/>
    <w:rsid w:val="00057A30"/>
    <w:rsid w:val="0006007A"/>
    <w:rsid w:val="0006010F"/>
    <w:rsid w:val="0006032F"/>
    <w:rsid w:val="000611F4"/>
    <w:rsid w:val="00061B91"/>
    <w:rsid w:val="00061E92"/>
    <w:rsid w:val="000624B6"/>
    <w:rsid w:val="00062C52"/>
    <w:rsid w:val="00062EDE"/>
    <w:rsid w:val="00062FB6"/>
    <w:rsid w:val="000636CB"/>
    <w:rsid w:val="00063747"/>
    <w:rsid w:val="00064B26"/>
    <w:rsid w:val="00064B79"/>
    <w:rsid w:val="00064BD6"/>
    <w:rsid w:val="00064FFD"/>
    <w:rsid w:val="000659AE"/>
    <w:rsid w:val="00066267"/>
    <w:rsid w:val="000673BA"/>
    <w:rsid w:val="00067CC5"/>
    <w:rsid w:val="000700B1"/>
    <w:rsid w:val="0007067C"/>
    <w:rsid w:val="00070B97"/>
    <w:rsid w:val="00070F2E"/>
    <w:rsid w:val="00071321"/>
    <w:rsid w:val="00071BD4"/>
    <w:rsid w:val="000725E5"/>
    <w:rsid w:val="0007289C"/>
    <w:rsid w:val="00072ABC"/>
    <w:rsid w:val="000730A2"/>
    <w:rsid w:val="00073EEB"/>
    <w:rsid w:val="00074733"/>
    <w:rsid w:val="00074964"/>
    <w:rsid w:val="000754A6"/>
    <w:rsid w:val="00075791"/>
    <w:rsid w:val="00075B9A"/>
    <w:rsid w:val="00075BE9"/>
    <w:rsid w:val="00075DD5"/>
    <w:rsid w:val="00076094"/>
    <w:rsid w:val="000767D1"/>
    <w:rsid w:val="000770FD"/>
    <w:rsid w:val="00077E8B"/>
    <w:rsid w:val="00077E91"/>
    <w:rsid w:val="00080004"/>
    <w:rsid w:val="00080BDD"/>
    <w:rsid w:val="00080E8D"/>
    <w:rsid w:val="00080FAD"/>
    <w:rsid w:val="000810A5"/>
    <w:rsid w:val="00081CB2"/>
    <w:rsid w:val="000820D2"/>
    <w:rsid w:val="00082D96"/>
    <w:rsid w:val="000832D1"/>
    <w:rsid w:val="000832EC"/>
    <w:rsid w:val="000837C5"/>
    <w:rsid w:val="00083AC4"/>
    <w:rsid w:val="000840B7"/>
    <w:rsid w:val="00084E51"/>
    <w:rsid w:val="00084E80"/>
    <w:rsid w:val="00085EAD"/>
    <w:rsid w:val="0008618A"/>
    <w:rsid w:val="000872BB"/>
    <w:rsid w:val="00087FAC"/>
    <w:rsid w:val="0009007D"/>
    <w:rsid w:val="00090F03"/>
    <w:rsid w:val="00091010"/>
    <w:rsid w:val="000911ED"/>
    <w:rsid w:val="0009133A"/>
    <w:rsid w:val="0009160E"/>
    <w:rsid w:val="00091826"/>
    <w:rsid w:val="00091923"/>
    <w:rsid w:val="00092AD2"/>
    <w:rsid w:val="00092F02"/>
    <w:rsid w:val="00093187"/>
    <w:rsid w:val="00093EF5"/>
    <w:rsid w:val="0009483E"/>
    <w:rsid w:val="00095209"/>
    <w:rsid w:val="00095419"/>
    <w:rsid w:val="00096449"/>
    <w:rsid w:val="00096518"/>
    <w:rsid w:val="00096611"/>
    <w:rsid w:val="00097688"/>
    <w:rsid w:val="000A03B6"/>
    <w:rsid w:val="000A0498"/>
    <w:rsid w:val="000A0514"/>
    <w:rsid w:val="000A119D"/>
    <w:rsid w:val="000A1807"/>
    <w:rsid w:val="000A22A9"/>
    <w:rsid w:val="000A2542"/>
    <w:rsid w:val="000A273C"/>
    <w:rsid w:val="000A2B31"/>
    <w:rsid w:val="000A2B91"/>
    <w:rsid w:val="000A2E5E"/>
    <w:rsid w:val="000A3036"/>
    <w:rsid w:val="000A35E4"/>
    <w:rsid w:val="000A3BCE"/>
    <w:rsid w:val="000A40C3"/>
    <w:rsid w:val="000A48C4"/>
    <w:rsid w:val="000A4A1D"/>
    <w:rsid w:val="000A4B5F"/>
    <w:rsid w:val="000A508D"/>
    <w:rsid w:val="000A5BFC"/>
    <w:rsid w:val="000A5E74"/>
    <w:rsid w:val="000A6440"/>
    <w:rsid w:val="000A68BF"/>
    <w:rsid w:val="000A6CFF"/>
    <w:rsid w:val="000A70E2"/>
    <w:rsid w:val="000A7473"/>
    <w:rsid w:val="000B14C8"/>
    <w:rsid w:val="000B2592"/>
    <w:rsid w:val="000B2B5F"/>
    <w:rsid w:val="000B2F3F"/>
    <w:rsid w:val="000B451A"/>
    <w:rsid w:val="000B49CC"/>
    <w:rsid w:val="000B501E"/>
    <w:rsid w:val="000B540C"/>
    <w:rsid w:val="000B54CD"/>
    <w:rsid w:val="000B5D8C"/>
    <w:rsid w:val="000B5FF4"/>
    <w:rsid w:val="000B603B"/>
    <w:rsid w:val="000B6445"/>
    <w:rsid w:val="000B6BDB"/>
    <w:rsid w:val="000B6DC5"/>
    <w:rsid w:val="000B7139"/>
    <w:rsid w:val="000C1771"/>
    <w:rsid w:val="000C2179"/>
    <w:rsid w:val="000C272B"/>
    <w:rsid w:val="000C3018"/>
    <w:rsid w:val="000C38B5"/>
    <w:rsid w:val="000C4D92"/>
    <w:rsid w:val="000C4F60"/>
    <w:rsid w:val="000C5510"/>
    <w:rsid w:val="000C6C10"/>
    <w:rsid w:val="000C7045"/>
    <w:rsid w:val="000C740C"/>
    <w:rsid w:val="000C7B2D"/>
    <w:rsid w:val="000C7D80"/>
    <w:rsid w:val="000D06C9"/>
    <w:rsid w:val="000D0722"/>
    <w:rsid w:val="000D0916"/>
    <w:rsid w:val="000D0D42"/>
    <w:rsid w:val="000D2129"/>
    <w:rsid w:val="000D3CDD"/>
    <w:rsid w:val="000D406C"/>
    <w:rsid w:val="000D4329"/>
    <w:rsid w:val="000D4791"/>
    <w:rsid w:val="000D5005"/>
    <w:rsid w:val="000D5024"/>
    <w:rsid w:val="000D5668"/>
    <w:rsid w:val="000D60CE"/>
    <w:rsid w:val="000D6B2C"/>
    <w:rsid w:val="000D70BE"/>
    <w:rsid w:val="000D7BEA"/>
    <w:rsid w:val="000E0FF4"/>
    <w:rsid w:val="000E1DCA"/>
    <w:rsid w:val="000E21B1"/>
    <w:rsid w:val="000E2CBB"/>
    <w:rsid w:val="000E33C9"/>
    <w:rsid w:val="000E38A0"/>
    <w:rsid w:val="000E397A"/>
    <w:rsid w:val="000E5129"/>
    <w:rsid w:val="000E5616"/>
    <w:rsid w:val="000E570C"/>
    <w:rsid w:val="000E62ED"/>
    <w:rsid w:val="000E6700"/>
    <w:rsid w:val="000E6E40"/>
    <w:rsid w:val="000E6EC6"/>
    <w:rsid w:val="000E7BCB"/>
    <w:rsid w:val="000F089F"/>
    <w:rsid w:val="000F0D58"/>
    <w:rsid w:val="000F1BA9"/>
    <w:rsid w:val="000F28AF"/>
    <w:rsid w:val="000F2E62"/>
    <w:rsid w:val="000F3004"/>
    <w:rsid w:val="000F3139"/>
    <w:rsid w:val="000F3448"/>
    <w:rsid w:val="000F3747"/>
    <w:rsid w:val="000F3AAE"/>
    <w:rsid w:val="000F3CB5"/>
    <w:rsid w:val="000F3DA4"/>
    <w:rsid w:val="000F44D7"/>
    <w:rsid w:val="000F4892"/>
    <w:rsid w:val="000F4C06"/>
    <w:rsid w:val="000F4E1E"/>
    <w:rsid w:val="000F547F"/>
    <w:rsid w:val="000F55F1"/>
    <w:rsid w:val="000F5D93"/>
    <w:rsid w:val="000F7A1B"/>
    <w:rsid w:val="000F7E81"/>
    <w:rsid w:val="00102664"/>
    <w:rsid w:val="0010298B"/>
    <w:rsid w:val="00102F22"/>
    <w:rsid w:val="001033B0"/>
    <w:rsid w:val="00104579"/>
    <w:rsid w:val="001045AB"/>
    <w:rsid w:val="001046E7"/>
    <w:rsid w:val="00104BA3"/>
    <w:rsid w:val="00105939"/>
    <w:rsid w:val="00105F57"/>
    <w:rsid w:val="001061DB"/>
    <w:rsid w:val="00106725"/>
    <w:rsid w:val="00107854"/>
    <w:rsid w:val="00107D77"/>
    <w:rsid w:val="00110A2A"/>
    <w:rsid w:val="00110BC1"/>
    <w:rsid w:val="001111B9"/>
    <w:rsid w:val="00111A40"/>
    <w:rsid w:val="001122A6"/>
    <w:rsid w:val="00112728"/>
    <w:rsid w:val="00112B2C"/>
    <w:rsid w:val="00113159"/>
    <w:rsid w:val="001132B3"/>
    <w:rsid w:val="00114BB6"/>
    <w:rsid w:val="00114C3F"/>
    <w:rsid w:val="0011526D"/>
    <w:rsid w:val="001152D1"/>
    <w:rsid w:val="00115610"/>
    <w:rsid w:val="001156C0"/>
    <w:rsid w:val="001164ED"/>
    <w:rsid w:val="001165E3"/>
    <w:rsid w:val="00116D34"/>
    <w:rsid w:val="00116F2C"/>
    <w:rsid w:val="001176B1"/>
    <w:rsid w:val="001179DC"/>
    <w:rsid w:val="00117C41"/>
    <w:rsid w:val="00117DD6"/>
    <w:rsid w:val="00117FDB"/>
    <w:rsid w:val="0012009F"/>
    <w:rsid w:val="001208B5"/>
    <w:rsid w:val="00121117"/>
    <w:rsid w:val="0012190E"/>
    <w:rsid w:val="00121F08"/>
    <w:rsid w:val="0012212D"/>
    <w:rsid w:val="0012339D"/>
    <w:rsid w:val="0012348E"/>
    <w:rsid w:val="001237CD"/>
    <w:rsid w:val="001241C2"/>
    <w:rsid w:val="00124781"/>
    <w:rsid w:val="00125CD8"/>
    <w:rsid w:val="00126A5A"/>
    <w:rsid w:val="00126B3B"/>
    <w:rsid w:val="00127BD4"/>
    <w:rsid w:val="00127FBA"/>
    <w:rsid w:val="00130F87"/>
    <w:rsid w:val="00131467"/>
    <w:rsid w:val="0013150D"/>
    <w:rsid w:val="0013255B"/>
    <w:rsid w:val="0013267D"/>
    <w:rsid w:val="00132B10"/>
    <w:rsid w:val="001330E2"/>
    <w:rsid w:val="00134836"/>
    <w:rsid w:val="00135298"/>
    <w:rsid w:val="00135852"/>
    <w:rsid w:val="00135CD4"/>
    <w:rsid w:val="00135E39"/>
    <w:rsid w:val="0014021B"/>
    <w:rsid w:val="0014041A"/>
    <w:rsid w:val="0014087D"/>
    <w:rsid w:val="00140997"/>
    <w:rsid w:val="00141D39"/>
    <w:rsid w:val="0014201B"/>
    <w:rsid w:val="00142816"/>
    <w:rsid w:val="00142831"/>
    <w:rsid w:val="00142B31"/>
    <w:rsid w:val="001431AC"/>
    <w:rsid w:val="001437CD"/>
    <w:rsid w:val="00143891"/>
    <w:rsid w:val="00143C34"/>
    <w:rsid w:val="00143D9B"/>
    <w:rsid w:val="00143DD4"/>
    <w:rsid w:val="00143FCE"/>
    <w:rsid w:val="0014468F"/>
    <w:rsid w:val="00144CD2"/>
    <w:rsid w:val="00144EA2"/>
    <w:rsid w:val="00145845"/>
    <w:rsid w:val="00145B8D"/>
    <w:rsid w:val="001467D1"/>
    <w:rsid w:val="0014695B"/>
    <w:rsid w:val="00146F87"/>
    <w:rsid w:val="0014748F"/>
    <w:rsid w:val="001479AA"/>
    <w:rsid w:val="00147FC5"/>
    <w:rsid w:val="00151075"/>
    <w:rsid w:val="00151661"/>
    <w:rsid w:val="00151D04"/>
    <w:rsid w:val="001523E5"/>
    <w:rsid w:val="001525D4"/>
    <w:rsid w:val="00152DD8"/>
    <w:rsid w:val="00153210"/>
    <w:rsid w:val="00153C95"/>
    <w:rsid w:val="00153E32"/>
    <w:rsid w:val="0015469A"/>
    <w:rsid w:val="00154900"/>
    <w:rsid w:val="001558F6"/>
    <w:rsid w:val="00155E0A"/>
    <w:rsid w:val="001569D1"/>
    <w:rsid w:val="00156DEC"/>
    <w:rsid w:val="001577AF"/>
    <w:rsid w:val="00160489"/>
    <w:rsid w:val="0016078D"/>
    <w:rsid w:val="0016235F"/>
    <w:rsid w:val="00162614"/>
    <w:rsid w:val="00162821"/>
    <w:rsid w:val="0016305B"/>
    <w:rsid w:val="00163149"/>
    <w:rsid w:val="00163E73"/>
    <w:rsid w:val="0016448B"/>
    <w:rsid w:val="001657BF"/>
    <w:rsid w:val="00166874"/>
    <w:rsid w:val="00166D9C"/>
    <w:rsid w:val="001671B7"/>
    <w:rsid w:val="00167A1A"/>
    <w:rsid w:val="00167ABE"/>
    <w:rsid w:val="00167C03"/>
    <w:rsid w:val="00167DDB"/>
    <w:rsid w:val="00167EFF"/>
    <w:rsid w:val="001701D2"/>
    <w:rsid w:val="00170F82"/>
    <w:rsid w:val="00170F87"/>
    <w:rsid w:val="00171A8E"/>
    <w:rsid w:val="00171D87"/>
    <w:rsid w:val="001723F7"/>
    <w:rsid w:val="0017340F"/>
    <w:rsid w:val="001734D8"/>
    <w:rsid w:val="0017384F"/>
    <w:rsid w:val="00173995"/>
    <w:rsid w:val="00173B6B"/>
    <w:rsid w:val="00173D34"/>
    <w:rsid w:val="00174126"/>
    <w:rsid w:val="00174F26"/>
    <w:rsid w:val="00175BAE"/>
    <w:rsid w:val="001761D7"/>
    <w:rsid w:val="00176553"/>
    <w:rsid w:val="0017775D"/>
    <w:rsid w:val="00177A67"/>
    <w:rsid w:val="0018023C"/>
    <w:rsid w:val="001809BF"/>
    <w:rsid w:val="00180C0E"/>
    <w:rsid w:val="001814B4"/>
    <w:rsid w:val="001814D2"/>
    <w:rsid w:val="0018174D"/>
    <w:rsid w:val="001817F5"/>
    <w:rsid w:val="001823A0"/>
    <w:rsid w:val="00182413"/>
    <w:rsid w:val="00182993"/>
    <w:rsid w:val="0018306D"/>
    <w:rsid w:val="00183280"/>
    <w:rsid w:val="001844EF"/>
    <w:rsid w:val="00186752"/>
    <w:rsid w:val="001868DF"/>
    <w:rsid w:val="0018705C"/>
    <w:rsid w:val="00187739"/>
    <w:rsid w:val="0018784C"/>
    <w:rsid w:val="0019052E"/>
    <w:rsid w:val="001907AD"/>
    <w:rsid w:val="00190890"/>
    <w:rsid w:val="00190C68"/>
    <w:rsid w:val="00191227"/>
    <w:rsid w:val="001916BC"/>
    <w:rsid w:val="00191EB1"/>
    <w:rsid w:val="00191F52"/>
    <w:rsid w:val="001926A9"/>
    <w:rsid w:val="0019271F"/>
    <w:rsid w:val="001929A9"/>
    <w:rsid w:val="00192D04"/>
    <w:rsid w:val="001930A5"/>
    <w:rsid w:val="00193266"/>
    <w:rsid w:val="0019597D"/>
    <w:rsid w:val="00196309"/>
    <w:rsid w:val="0019674D"/>
    <w:rsid w:val="001968FF"/>
    <w:rsid w:val="00197D5A"/>
    <w:rsid w:val="001A0474"/>
    <w:rsid w:val="001A0CE9"/>
    <w:rsid w:val="001A17F6"/>
    <w:rsid w:val="001A1856"/>
    <w:rsid w:val="001A1C7D"/>
    <w:rsid w:val="001A1D8C"/>
    <w:rsid w:val="001A2FE1"/>
    <w:rsid w:val="001A3099"/>
    <w:rsid w:val="001A3BEC"/>
    <w:rsid w:val="001A4410"/>
    <w:rsid w:val="001A586A"/>
    <w:rsid w:val="001A5D24"/>
    <w:rsid w:val="001A60F0"/>
    <w:rsid w:val="001A649A"/>
    <w:rsid w:val="001A6F70"/>
    <w:rsid w:val="001A7152"/>
    <w:rsid w:val="001A7176"/>
    <w:rsid w:val="001A786D"/>
    <w:rsid w:val="001A7C73"/>
    <w:rsid w:val="001A7CA9"/>
    <w:rsid w:val="001B08F6"/>
    <w:rsid w:val="001B0F04"/>
    <w:rsid w:val="001B2ED1"/>
    <w:rsid w:val="001B3291"/>
    <w:rsid w:val="001B3546"/>
    <w:rsid w:val="001B3B17"/>
    <w:rsid w:val="001B41D7"/>
    <w:rsid w:val="001B4216"/>
    <w:rsid w:val="001B526A"/>
    <w:rsid w:val="001B5284"/>
    <w:rsid w:val="001B549A"/>
    <w:rsid w:val="001B5F9B"/>
    <w:rsid w:val="001B6E89"/>
    <w:rsid w:val="001C048B"/>
    <w:rsid w:val="001C06B3"/>
    <w:rsid w:val="001C1082"/>
    <w:rsid w:val="001C223E"/>
    <w:rsid w:val="001C2251"/>
    <w:rsid w:val="001C388D"/>
    <w:rsid w:val="001C39FB"/>
    <w:rsid w:val="001C4BD9"/>
    <w:rsid w:val="001C540D"/>
    <w:rsid w:val="001C54B2"/>
    <w:rsid w:val="001C5B10"/>
    <w:rsid w:val="001C5D9B"/>
    <w:rsid w:val="001C6040"/>
    <w:rsid w:val="001C627A"/>
    <w:rsid w:val="001C6D4C"/>
    <w:rsid w:val="001C73FC"/>
    <w:rsid w:val="001C7CB7"/>
    <w:rsid w:val="001D01AC"/>
    <w:rsid w:val="001D0298"/>
    <w:rsid w:val="001D06B0"/>
    <w:rsid w:val="001D0CFD"/>
    <w:rsid w:val="001D0F07"/>
    <w:rsid w:val="001D10BD"/>
    <w:rsid w:val="001D1B95"/>
    <w:rsid w:val="001D2376"/>
    <w:rsid w:val="001D2C68"/>
    <w:rsid w:val="001D34DA"/>
    <w:rsid w:val="001D3CAC"/>
    <w:rsid w:val="001D4302"/>
    <w:rsid w:val="001D4336"/>
    <w:rsid w:val="001D4E2D"/>
    <w:rsid w:val="001D4E35"/>
    <w:rsid w:val="001D6C0C"/>
    <w:rsid w:val="001D7055"/>
    <w:rsid w:val="001D706B"/>
    <w:rsid w:val="001D7D3F"/>
    <w:rsid w:val="001D7EB9"/>
    <w:rsid w:val="001E082A"/>
    <w:rsid w:val="001E1F0B"/>
    <w:rsid w:val="001E2CBA"/>
    <w:rsid w:val="001E3D0B"/>
    <w:rsid w:val="001E47A7"/>
    <w:rsid w:val="001E491D"/>
    <w:rsid w:val="001E5C74"/>
    <w:rsid w:val="001E6633"/>
    <w:rsid w:val="001E764E"/>
    <w:rsid w:val="001E7FBC"/>
    <w:rsid w:val="001F0600"/>
    <w:rsid w:val="001F0E18"/>
    <w:rsid w:val="001F11C2"/>
    <w:rsid w:val="001F27FA"/>
    <w:rsid w:val="001F2ADB"/>
    <w:rsid w:val="001F2FBE"/>
    <w:rsid w:val="001F3986"/>
    <w:rsid w:val="001F41DB"/>
    <w:rsid w:val="001F55C7"/>
    <w:rsid w:val="001F57FD"/>
    <w:rsid w:val="001F64C1"/>
    <w:rsid w:val="001F6BE2"/>
    <w:rsid w:val="001F73AA"/>
    <w:rsid w:val="001F75C9"/>
    <w:rsid w:val="001F7FDA"/>
    <w:rsid w:val="00200010"/>
    <w:rsid w:val="0020093D"/>
    <w:rsid w:val="0020254B"/>
    <w:rsid w:val="0020265A"/>
    <w:rsid w:val="00202BBC"/>
    <w:rsid w:val="00203054"/>
    <w:rsid w:val="0020342F"/>
    <w:rsid w:val="002055E7"/>
    <w:rsid w:val="002076D9"/>
    <w:rsid w:val="00207828"/>
    <w:rsid w:val="00207E74"/>
    <w:rsid w:val="00207FA0"/>
    <w:rsid w:val="00207FC9"/>
    <w:rsid w:val="00210427"/>
    <w:rsid w:val="00210DE8"/>
    <w:rsid w:val="00210E72"/>
    <w:rsid w:val="00211747"/>
    <w:rsid w:val="00211C37"/>
    <w:rsid w:val="002135C7"/>
    <w:rsid w:val="00213E79"/>
    <w:rsid w:val="002146CB"/>
    <w:rsid w:val="0021481F"/>
    <w:rsid w:val="0021485A"/>
    <w:rsid w:val="002159E0"/>
    <w:rsid w:val="00216337"/>
    <w:rsid w:val="00216560"/>
    <w:rsid w:val="00217089"/>
    <w:rsid w:val="002172FD"/>
    <w:rsid w:val="00217656"/>
    <w:rsid w:val="00217D14"/>
    <w:rsid w:val="00220712"/>
    <w:rsid w:val="00220918"/>
    <w:rsid w:val="00220956"/>
    <w:rsid w:val="00221317"/>
    <w:rsid w:val="0022185B"/>
    <w:rsid w:val="002220F7"/>
    <w:rsid w:val="00222D5E"/>
    <w:rsid w:val="0022330B"/>
    <w:rsid w:val="00224C80"/>
    <w:rsid w:val="00224DC1"/>
    <w:rsid w:val="00224EAF"/>
    <w:rsid w:val="00224EFA"/>
    <w:rsid w:val="002251F8"/>
    <w:rsid w:val="00226D34"/>
    <w:rsid w:val="002277FA"/>
    <w:rsid w:val="00227943"/>
    <w:rsid w:val="00227A9C"/>
    <w:rsid w:val="00227E5B"/>
    <w:rsid w:val="0023015C"/>
    <w:rsid w:val="002306CB"/>
    <w:rsid w:val="002308F9"/>
    <w:rsid w:val="00230F95"/>
    <w:rsid w:val="002313CF"/>
    <w:rsid w:val="002318CE"/>
    <w:rsid w:val="0023225C"/>
    <w:rsid w:val="00232D5D"/>
    <w:rsid w:val="00232D77"/>
    <w:rsid w:val="00234603"/>
    <w:rsid w:val="00234723"/>
    <w:rsid w:val="002347F0"/>
    <w:rsid w:val="00234AF5"/>
    <w:rsid w:val="0023544C"/>
    <w:rsid w:val="00235478"/>
    <w:rsid w:val="002354CB"/>
    <w:rsid w:val="00235D03"/>
    <w:rsid w:val="00235F0B"/>
    <w:rsid w:val="00236894"/>
    <w:rsid w:val="00236B43"/>
    <w:rsid w:val="00237DEF"/>
    <w:rsid w:val="002408F3"/>
    <w:rsid w:val="00240AAD"/>
    <w:rsid w:val="00241DCF"/>
    <w:rsid w:val="00241EE6"/>
    <w:rsid w:val="00242627"/>
    <w:rsid w:val="00242B41"/>
    <w:rsid w:val="002437E3"/>
    <w:rsid w:val="002444BA"/>
    <w:rsid w:val="0024456C"/>
    <w:rsid w:val="00244CC2"/>
    <w:rsid w:val="002450B7"/>
    <w:rsid w:val="00245401"/>
    <w:rsid w:val="002463CC"/>
    <w:rsid w:val="00247466"/>
    <w:rsid w:val="00250006"/>
    <w:rsid w:val="00250B2F"/>
    <w:rsid w:val="00250F01"/>
    <w:rsid w:val="0025135F"/>
    <w:rsid w:val="002514EE"/>
    <w:rsid w:val="00251B91"/>
    <w:rsid w:val="00251CCE"/>
    <w:rsid w:val="0025268B"/>
    <w:rsid w:val="002539D7"/>
    <w:rsid w:val="00253CA2"/>
    <w:rsid w:val="00253FFF"/>
    <w:rsid w:val="00254BCB"/>
    <w:rsid w:val="00255052"/>
    <w:rsid w:val="002550E8"/>
    <w:rsid w:val="0025516D"/>
    <w:rsid w:val="002551C1"/>
    <w:rsid w:val="00255AB6"/>
    <w:rsid w:val="00256787"/>
    <w:rsid w:val="00256D43"/>
    <w:rsid w:val="00257369"/>
    <w:rsid w:val="002578C4"/>
    <w:rsid w:val="002603CF"/>
    <w:rsid w:val="002606E8"/>
    <w:rsid w:val="00260FE2"/>
    <w:rsid w:val="00261B35"/>
    <w:rsid w:val="00263328"/>
    <w:rsid w:val="002636A9"/>
    <w:rsid w:val="00263B8B"/>
    <w:rsid w:val="00264773"/>
    <w:rsid w:val="00265DE3"/>
    <w:rsid w:val="00266174"/>
    <w:rsid w:val="002670E9"/>
    <w:rsid w:val="002671E1"/>
    <w:rsid w:val="002673EB"/>
    <w:rsid w:val="00267DE2"/>
    <w:rsid w:val="00270F4D"/>
    <w:rsid w:val="00271B20"/>
    <w:rsid w:val="00271D7D"/>
    <w:rsid w:val="00271E4B"/>
    <w:rsid w:val="0027209A"/>
    <w:rsid w:val="0027438F"/>
    <w:rsid w:val="002748AA"/>
    <w:rsid w:val="00274A1A"/>
    <w:rsid w:val="00274B31"/>
    <w:rsid w:val="0027576E"/>
    <w:rsid w:val="002757F0"/>
    <w:rsid w:val="0027645F"/>
    <w:rsid w:val="002765BC"/>
    <w:rsid w:val="00276D3D"/>
    <w:rsid w:val="00276D5E"/>
    <w:rsid w:val="002772D8"/>
    <w:rsid w:val="00277331"/>
    <w:rsid w:val="00277661"/>
    <w:rsid w:val="00280A7E"/>
    <w:rsid w:val="00280A82"/>
    <w:rsid w:val="0028260F"/>
    <w:rsid w:val="00283A59"/>
    <w:rsid w:val="00283D53"/>
    <w:rsid w:val="00283DBF"/>
    <w:rsid w:val="00284451"/>
    <w:rsid w:val="0028467A"/>
    <w:rsid w:val="00284A81"/>
    <w:rsid w:val="0028612D"/>
    <w:rsid w:val="002872A8"/>
    <w:rsid w:val="0028768E"/>
    <w:rsid w:val="00287E9C"/>
    <w:rsid w:val="00287F42"/>
    <w:rsid w:val="0029020A"/>
    <w:rsid w:val="00290660"/>
    <w:rsid w:val="00290ADD"/>
    <w:rsid w:val="00290B1A"/>
    <w:rsid w:val="00290BBE"/>
    <w:rsid w:val="00291A89"/>
    <w:rsid w:val="00292515"/>
    <w:rsid w:val="00292610"/>
    <w:rsid w:val="00292EC2"/>
    <w:rsid w:val="00293CC8"/>
    <w:rsid w:val="002949D8"/>
    <w:rsid w:val="00295F80"/>
    <w:rsid w:val="0029688E"/>
    <w:rsid w:val="00296AAC"/>
    <w:rsid w:val="00296BD0"/>
    <w:rsid w:val="00297F92"/>
    <w:rsid w:val="002A0192"/>
    <w:rsid w:val="002A0853"/>
    <w:rsid w:val="002A0B3F"/>
    <w:rsid w:val="002A1083"/>
    <w:rsid w:val="002A1764"/>
    <w:rsid w:val="002A18FF"/>
    <w:rsid w:val="002A311B"/>
    <w:rsid w:val="002A382F"/>
    <w:rsid w:val="002A4A90"/>
    <w:rsid w:val="002A5376"/>
    <w:rsid w:val="002A57D4"/>
    <w:rsid w:val="002A5877"/>
    <w:rsid w:val="002A5966"/>
    <w:rsid w:val="002A666B"/>
    <w:rsid w:val="002A6B7D"/>
    <w:rsid w:val="002A7058"/>
    <w:rsid w:val="002A7B83"/>
    <w:rsid w:val="002B03C0"/>
    <w:rsid w:val="002B0ADE"/>
    <w:rsid w:val="002B0D27"/>
    <w:rsid w:val="002B0F23"/>
    <w:rsid w:val="002B1465"/>
    <w:rsid w:val="002B186F"/>
    <w:rsid w:val="002B18CF"/>
    <w:rsid w:val="002B1CAE"/>
    <w:rsid w:val="002B203F"/>
    <w:rsid w:val="002B2B67"/>
    <w:rsid w:val="002B2DE1"/>
    <w:rsid w:val="002B3923"/>
    <w:rsid w:val="002B441F"/>
    <w:rsid w:val="002B45C8"/>
    <w:rsid w:val="002B6056"/>
    <w:rsid w:val="002B6739"/>
    <w:rsid w:val="002B68D2"/>
    <w:rsid w:val="002B6AB2"/>
    <w:rsid w:val="002B6C9F"/>
    <w:rsid w:val="002B6F65"/>
    <w:rsid w:val="002B7013"/>
    <w:rsid w:val="002B7744"/>
    <w:rsid w:val="002B7DA8"/>
    <w:rsid w:val="002C0078"/>
    <w:rsid w:val="002C08EA"/>
    <w:rsid w:val="002C0E32"/>
    <w:rsid w:val="002C10A1"/>
    <w:rsid w:val="002C1892"/>
    <w:rsid w:val="002C201A"/>
    <w:rsid w:val="002C22F2"/>
    <w:rsid w:val="002C2BBE"/>
    <w:rsid w:val="002C2CB4"/>
    <w:rsid w:val="002C4769"/>
    <w:rsid w:val="002C47D0"/>
    <w:rsid w:val="002C577A"/>
    <w:rsid w:val="002C57AB"/>
    <w:rsid w:val="002C5A95"/>
    <w:rsid w:val="002C61D7"/>
    <w:rsid w:val="002C65AA"/>
    <w:rsid w:val="002C65FD"/>
    <w:rsid w:val="002C675E"/>
    <w:rsid w:val="002C6E11"/>
    <w:rsid w:val="002C7321"/>
    <w:rsid w:val="002C7F64"/>
    <w:rsid w:val="002D0BF6"/>
    <w:rsid w:val="002D20BC"/>
    <w:rsid w:val="002D4596"/>
    <w:rsid w:val="002D4EE5"/>
    <w:rsid w:val="002D54DE"/>
    <w:rsid w:val="002D5682"/>
    <w:rsid w:val="002D57B3"/>
    <w:rsid w:val="002D5981"/>
    <w:rsid w:val="002D5EA8"/>
    <w:rsid w:val="002D6033"/>
    <w:rsid w:val="002D633D"/>
    <w:rsid w:val="002D68A0"/>
    <w:rsid w:val="002D6E2E"/>
    <w:rsid w:val="002D7169"/>
    <w:rsid w:val="002D7172"/>
    <w:rsid w:val="002D7DB3"/>
    <w:rsid w:val="002E01F2"/>
    <w:rsid w:val="002E0796"/>
    <w:rsid w:val="002E0824"/>
    <w:rsid w:val="002E151B"/>
    <w:rsid w:val="002E1524"/>
    <w:rsid w:val="002E211B"/>
    <w:rsid w:val="002E280E"/>
    <w:rsid w:val="002E3157"/>
    <w:rsid w:val="002E3984"/>
    <w:rsid w:val="002E4712"/>
    <w:rsid w:val="002E4EF8"/>
    <w:rsid w:val="002E56B0"/>
    <w:rsid w:val="002E5819"/>
    <w:rsid w:val="002E5B6E"/>
    <w:rsid w:val="002E662A"/>
    <w:rsid w:val="002E6C59"/>
    <w:rsid w:val="002E7198"/>
    <w:rsid w:val="002E723E"/>
    <w:rsid w:val="002E762A"/>
    <w:rsid w:val="002E7B35"/>
    <w:rsid w:val="002F0087"/>
    <w:rsid w:val="002F10C4"/>
    <w:rsid w:val="002F1697"/>
    <w:rsid w:val="002F2376"/>
    <w:rsid w:val="002F2A76"/>
    <w:rsid w:val="002F2B3A"/>
    <w:rsid w:val="002F45C7"/>
    <w:rsid w:val="002F4DDA"/>
    <w:rsid w:val="002F5192"/>
    <w:rsid w:val="002F56E1"/>
    <w:rsid w:val="002F5A63"/>
    <w:rsid w:val="002F5F22"/>
    <w:rsid w:val="002F6FE4"/>
    <w:rsid w:val="002F746C"/>
    <w:rsid w:val="00300415"/>
    <w:rsid w:val="0030073F"/>
    <w:rsid w:val="00300830"/>
    <w:rsid w:val="003009DB"/>
    <w:rsid w:val="00300A7F"/>
    <w:rsid w:val="003010D6"/>
    <w:rsid w:val="003010E8"/>
    <w:rsid w:val="003011B4"/>
    <w:rsid w:val="00301AEB"/>
    <w:rsid w:val="00302DF4"/>
    <w:rsid w:val="003059ED"/>
    <w:rsid w:val="00305BEA"/>
    <w:rsid w:val="003062E0"/>
    <w:rsid w:val="00306B12"/>
    <w:rsid w:val="00306DAE"/>
    <w:rsid w:val="00307DD6"/>
    <w:rsid w:val="003101D4"/>
    <w:rsid w:val="00310740"/>
    <w:rsid w:val="00310B87"/>
    <w:rsid w:val="00311043"/>
    <w:rsid w:val="0031107C"/>
    <w:rsid w:val="003110DB"/>
    <w:rsid w:val="0031117C"/>
    <w:rsid w:val="00311D5E"/>
    <w:rsid w:val="00312095"/>
    <w:rsid w:val="00312462"/>
    <w:rsid w:val="00312E00"/>
    <w:rsid w:val="003136F6"/>
    <w:rsid w:val="00313B75"/>
    <w:rsid w:val="00314D5A"/>
    <w:rsid w:val="00314EBD"/>
    <w:rsid w:val="00315083"/>
    <w:rsid w:val="00315B3A"/>
    <w:rsid w:val="00315BDE"/>
    <w:rsid w:val="00315C1E"/>
    <w:rsid w:val="00315F0D"/>
    <w:rsid w:val="003167F6"/>
    <w:rsid w:val="00316A7F"/>
    <w:rsid w:val="00316FDC"/>
    <w:rsid w:val="0031702C"/>
    <w:rsid w:val="00317323"/>
    <w:rsid w:val="003200D1"/>
    <w:rsid w:val="00320248"/>
    <w:rsid w:val="00321502"/>
    <w:rsid w:val="003215F2"/>
    <w:rsid w:val="003220D9"/>
    <w:rsid w:val="00322822"/>
    <w:rsid w:val="00322CA1"/>
    <w:rsid w:val="00322E51"/>
    <w:rsid w:val="00324542"/>
    <w:rsid w:val="00324E77"/>
    <w:rsid w:val="00325A54"/>
    <w:rsid w:val="003269A2"/>
    <w:rsid w:val="00327E21"/>
    <w:rsid w:val="0033060D"/>
    <w:rsid w:val="003306D0"/>
    <w:rsid w:val="00330A8D"/>
    <w:rsid w:val="00330ECB"/>
    <w:rsid w:val="0033276A"/>
    <w:rsid w:val="00332959"/>
    <w:rsid w:val="00332FDA"/>
    <w:rsid w:val="0033310F"/>
    <w:rsid w:val="003344C9"/>
    <w:rsid w:val="003346E4"/>
    <w:rsid w:val="00334780"/>
    <w:rsid w:val="00335908"/>
    <w:rsid w:val="00335EB6"/>
    <w:rsid w:val="00336E94"/>
    <w:rsid w:val="00337132"/>
    <w:rsid w:val="00337D5C"/>
    <w:rsid w:val="00340666"/>
    <w:rsid w:val="00340A8B"/>
    <w:rsid w:val="00340E9C"/>
    <w:rsid w:val="0034155E"/>
    <w:rsid w:val="00342DE2"/>
    <w:rsid w:val="003430B2"/>
    <w:rsid w:val="0034383C"/>
    <w:rsid w:val="00343F06"/>
    <w:rsid w:val="0034457F"/>
    <w:rsid w:val="00344ABF"/>
    <w:rsid w:val="00344D28"/>
    <w:rsid w:val="00345145"/>
    <w:rsid w:val="00345253"/>
    <w:rsid w:val="00345432"/>
    <w:rsid w:val="00345D0C"/>
    <w:rsid w:val="00347FCC"/>
    <w:rsid w:val="003501E3"/>
    <w:rsid w:val="00351077"/>
    <w:rsid w:val="003515BE"/>
    <w:rsid w:val="00351E3D"/>
    <w:rsid w:val="00352999"/>
    <w:rsid w:val="0035308D"/>
    <w:rsid w:val="00353268"/>
    <w:rsid w:val="00353FA0"/>
    <w:rsid w:val="0035741D"/>
    <w:rsid w:val="003576ED"/>
    <w:rsid w:val="0035773A"/>
    <w:rsid w:val="00357BA1"/>
    <w:rsid w:val="00357F71"/>
    <w:rsid w:val="00360C9D"/>
    <w:rsid w:val="0036120B"/>
    <w:rsid w:val="0036142A"/>
    <w:rsid w:val="003629DB"/>
    <w:rsid w:val="00363743"/>
    <w:rsid w:val="00364336"/>
    <w:rsid w:val="00364809"/>
    <w:rsid w:val="00364DB9"/>
    <w:rsid w:val="00364EDC"/>
    <w:rsid w:val="00365401"/>
    <w:rsid w:val="003662B2"/>
    <w:rsid w:val="0036659C"/>
    <w:rsid w:val="003667A7"/>
    <w:rsid w:val="00366B85"/>
    <w:rsid w:val="00367CE6"/>
    <w:rsid w:val="0037013F"/>
    <w:rsid w:val="003702D7"/>
    <w:rsid w:val="003703B2"/>
    <w:rsid w:val="00370E3A"/>
    <w:rsid w:val="003712EB"/>
    <w:rsid w:val="00371BAC"/>
    <w:rsid w:val="0037200B"/>
    <w:rsid w:val="00372032"/>
    <w:rsid w:val="003727C5"/>
    <w:rsid w:val="003735F8"/>
    <w:rsid w:val="00373787"/>
    <w:rsid w:val="003743E6"/>
    <w:rsid w:val="0037491A"/>
    <w:rsid w:val="00375027"/>
    <w:rsid w:val="003752BC"/>
    <w:rsid w:val="00375510"/>
    <w:rsid w:val="003756B7"/>
    <w:rsid w:val="0037587E"/>
    <w:rsid w:val="003758A7"/>
    <w:rsid w:val="00375C64"/>
    <w:rsid w:val="00375D5A"/>
    <w:rsid w:val="00375D9F"/>
    <w:rsid w:val="00375FE8"/>
    <w:rsid w:val="00376AA6"/>
    <w:rsid w:val="00377532"/>
    <w:rsid w:val="0037796C"/>
    <w:rsid w:val="003804EB"/>
    <w:rsid w:val="00380F11"/>
    <w:rsid w:val="003813F1"/>
    <w:rsid w:val="00382C64"/>
    <w:rsid w:val="0038304A"/>
    <w:rsid w:val="0038468D"/>
    <w:rsid w:val="00385664"/>
    <w:rsid w:val="00385906"/>
    <w:rsid w:val="00385D61"/>
    <w:rsid w:val="00387205"/>
    <w:rsid w:val="003906A1"/>
    <w:rsid w:val="00390D4C"/>
    <w:rsid w:val="00391A7B"/>
    <w:rsid w:val="0039221B"/>
    <w:rsid w:val="00392A1F"/>
    <w:rsid w:val="00392ED1"/>
    <w:rsid w:val="0039316E"/>
    <w:rsid w:val="00393328"/>
    <w:rsid w:val="003937FF"/>
    <w:rsid w:val="00393C81"/>
    <w:rsid w:val="00394195"/>
    <w:rsid w:val="0039460E"/>
    <w:rsid w:val="003946C2"/>
    <w:rsid w:val="00394FC4"/>
    <w:rsid w:val="00395AC6"/>
    <w:rsid w:val="00396380"/>
    <w:rsid w:val="003964D9"/>
    <w:rsid w:val="00396B4C"/>
    <w:rsid w:val="00396D46"/>
    <w:rsid w:val="00397485"/>
    <w:rsid w:val="00397E8C"/>
    <w:rsid w:val="003A04EF"/>
    <w:rsid w:val="003A0731"/>
    <w:rsid w:val="003A1236"/>
    <w:rsid w:val="003A1253"/>
    <w:rsid w:val="003A127F"/>
    <w:rsid w:val="003A1479"/>
    <w:rsid w:val="003A1E21"/>
    <w:rsid w:val="003A2F59"/>
    <w:rsid w:val="003A34D8"/>
    <w:rsid w:val="003A3749"/>
    <w:rsid w:val="003A38BF"/>
    <w:rsid w:val="003A4341"/>
    <w:rsid w:val="003A459C"/>
    <w:rsid w:val="003A45F2"/>
    <w:rsid w:val="003A47BD"/>
    <w:rsid w:val="003A4D67"/>
    <w:rsid w:val="003A576F"/>
    <w:rsid w:val="003A58DA"/>
    <w:rsid w:val="003A6278"/>
    <w:rsid w:val="003A6670"/>
    <w:rsid w:val="003A66B7"/>
    <w:rsid w:val="003A6F6C"/>
    <w:rsid w:val="003A734F"/>
    <w:rsid w:val="003A754F"/>
    <w:rsid w:val="003A759A"/>
    <w:rsid w:val="003A7CB4"/>
    <w:rsid w:val="003B0DF3"/>
    <w:rsid w:val="003B12E3"/>
    <w:rsid w:val="003B168B"/>
    <w:rsid w:val="003B16D7"/>
    <w:rsid w:val="003B1874"/>
    <w:rsid w:val="003B35DB"/>
    <w:rsid w:val="003B3908"/>
    <w:rsid w:val="003B3B90"/>
    <w:rsid w:val="003B3DDE"/>
    <w:rsid w:val="003B4077"/>
    <w:rsid w:val="003B42B7"/>
    <w:rsid w:val="003B5581"/>
    <w:rsid w:val="003B58CD"/>
    <w:rsid w:val="003B599A"/>
    <w:rsid w:val="003B6FC2"/>
    <w:rsid w:val="003B74EE"/>
    <w:rsid w:val="003B7C3A"/>
    <w:rsid w:val="003B7CE1"/>
    <w:rsid w:val="003C0E2E"/>
    <w:rsid w:val="003C1F86"/>
    <w:rsid w:val="003C2848"/>
    <w:rsid w:val="003C2A3B"/>
    <w:rsid w:val="003C3051"/>
    <w:rsid w:val="003C30B2"/>
    <w:rsid w:val="003C315A"/>
    <w:rsid w:val="003C32F3"/>
    <w:rsid w:val="003C3DEB"/>
    <w:rsid w:val="003C3E17"/>
    <w:rsid w:val="003C3F12"/>
    <w:rsid w:val="003C4341"/>
    <w:rsid w:val="003C468D"/>
    <w:rsid w:val="003C599A"/>
    <w:rsid w:val="003C5AC6"/>
    <w:rsid w:val="003C5B03"/>
    <w:rsid w:val="003C5F4D"/>
    <w:rsid w:val="003C7A3B"/>
    <w:rsid w:val="003C7D48"/>
    <w:rsid w:val="003D08A5"/>
    <w:rsid w:val="003D0A28"/>
    <w:rsid w:val="003D0D2D"/>
    <w:rsid w:val="003D1185"/>
    <w:rsid w:val="003D159A"/>
    <w:rsid w:val="003D15A5"/>
    <w:rsid w:val="003D1708"/>
    <w:rsid w:val="003D19E7"/>
    <w:rsid w:val="003D1E50"/>
    <w:rsid w:val="003D250E"/>
    <w:rsid w:val="003D2CDA"/>
    <w:rsid w:val="003D3208"/>
    <w:rsid w:val="003D3D5D"/>
    <w:rsid w:val="003D4152"/>
    <w:rsid w:val="003D4476"/>
    <w:rsid w:val="003D4934"/>
    <w:rsid w:val="003D59BE"/>
    <w:rsid w:val="003D5CF9"/>
    <w:rsid w:val="003D5D56"/>
    <w:rsid w:val="003D62A4"/>
    <w:rsid w:val="003D7FDE"/>
    <w:rsid w:val="003E033C"/>
    <w:rsid w:val="003E04DD"/>
    <w:rsid w:val="003E0883"/>
    <w:rsid w:val="003E0A35"/>
    <w:rsid w:val="003E0AD8"/>
    <w:rsid w:val="003E11D7"/>
    <w:rsid w:val="003E2168"/>
    <w:rsid w:val="003E2953"/>
    <w:rsid w:val="003E2C31"/>
    <w:rsid w:val="003E3DEE"/>
    <w:rsid w:val="003E42B2"/>
    <w:rsid w:val="003E442C"/>
    <w:rsid w:val="003E5058"/>
    <w:rsid w:val="003E509F"/>
    <w:rsid w:val="003E513F"/>
    <w:rsid w:val="003E5438"/>
    <w:rsid w:val="003E5606"/>
    <w:rsid w:val="003E5AA2"/>
    <w:rsid w:val="003E619E"/>
    <w:rsid w:val="003E633A"/>
    <w:rsid w:val="003E6806"/>
    <w:rsid w:val="003F0759"/>
    <w:rsid w:val="003F0C52"/>
    <w:rsid w:val="003F1125"/>
    <w:rsid w:val="003F1A86"/>
    <w:rsid w:val="003F2ABF"/>
    <w:rsid w:val="003F2D21"/>
    <w:rsid w:val="003F38DF"/>
    <w:rsid w:val="003F3930"/>
    <w:rsid w:val="003F395B"/>
    <w:rsid w:val="003F3D74"/>
    <w:rsid w:val="003F41B4"/>
    <w:rsid w:val="003F41E6"/>
    <w:rsid w:val="003F421F"/>
    <w:rsid w:val="003F4917"/>
    <w:rsid w:val="003F4B44"/>
    <w:rsid w:val="003F4DDA"/>
    <w:rsid w:val="003F67F2"/>
    <w:rsid w:val="003F6898"/>
    <w:rsid w:val="003F6C30"/>
    <w:rsid w:val="003F6DF9"/>
    <w:rsid w:val="003F7945"/>
    <w:rsid w:val="003F7BF7"/>
    <w:rsid w:val="003F7EBC"/>
    <w:rsid w:val="004001BB"/>
    <w:rsid w:val="0040084D"/>
    <w:rsid w:val="00401128"/>
    <w:rsid w:val="004019F0"/>
    <w:rsid w:val="00401AA7"/>
    <w:rsid w:val="00402734"/>
    <w:rsid w:val="0040326F"/>
    <w:rsid w:val="00403393"/>
    <w:rsid w:val="004035E4"/>
    <w:rsid w:val="00403BE0"/>
    <w:rsid w:val="00403D5C"/>
    <w:rsid w:val="00403E64"/>
    <w:rsid w:val="004045CB"/>
    <w:rsid w:val="00405188"/>
    <w:rsid w:val="00405AD2"/>
    <w:rsid w:val="004063FE"/>
    <w:rsid w:val="0040796D"/>
    <w:rsid w:val="004079A0"/>
    <w:rsid w:val="00407F32"/>
    <w:rsid w:val="00410C21"/>
    <w:rsid w:val="0041142B"/>
    <w:rsid w:val="00411FD3"/>
    <w:rsid w:val="00412051"/>
    <w:rsid w:val="004120B6"/>
    <w:rsid w:val="00412306"/>
    <w:rsid w:val="00412F06"/>
    <w:rsid w:val="00412F5F"/>
    <w:rsid w:val="004133B3"/>
    <w:rsid w:val="004134D1"/>
    <w:rsid w:val="00413AE2"/>
    <w:rsid w:val="00413C98"/>
    <w:rsid w:val="004140E1"/>
    <w:rsid w:val="00415009"/>
    <w:rsid w:val="0041596D"/>
    <w:rsid w:val="004164DD"/>
    <w:rsid w:val="00416D3C"/>
    <w:rsid w:val="004205F2"/>
    <w:rsid w:val="00420DE7"/>
    <w:rsid w:val="0042117E"/>
    <w:rsid w:val="00421711"/>
    <w:rsid w:val="0042199B"/>
    <w:rsid w:val="00421B06"/>
    <w:rsid w:val="00421E60"/>
    <w:rsid w:val="00422828"/>
    <w:rsid w:val="00422ECE"/>
    <w:rsid w:val="004231F0"/>
    <w:rsid w:val="00423688"/>
    <w:rsid w:val="00423A51"/>
    <w:rsid w:val="00423E9A"/>
    <w:rsid w:val="004241DB"/>
    <w:rsid w:val="0042460E"/>
    <w:rsid w:val="0042472A"/>
    <w:rsid w:val="0042475E"/>
    <w:rsid w:val="00424B05"/>
    <w:rsid w:val="0042557A"/>
    <w:rsid w:val="0042560A"/>
    <w:rsid w:val="00425742"/>
    <w:rsid w:val="0042576A"/>
    <w:rsid w:val="0042593E"/>
    <w:rsid w:val="00425ED6"/>
    <w:rsid w:val="0042624D"/>
    <w:rsid w:val="004269DD"/>
    <w:rsid w:val="00427027"/>
    <w:rsid w:val="00427151"/>
    <w:rsid w:val="00427B87"/>
    <w:rsid w:val="00427E2E"/>
    <w:rsid w:val="0043048D"/>
    <w:rsid w:val="004305B1"/>
    <w:rsid w:val="00430958"/>
    <w:rsid w:val="00431B6A"/>
    <w:rsid w:val="0043295B"/>
    <w:rsid w:val="0043306C"/>
    <w:rsid w:val="00433D51"/>
    <w:rsid w:val="00433F94"/>
    <w:rsid w:val="00434B19"/>
    <w:rsid w:val="004357EE"/>
    <w:rsid w:val="004358B4"/>
    <w:rsid w:val="00435A1D"/>
    <w:rsid w:val="004360A8"/>
    <w:rsid w:val="00436837"/>
    <w:rsid w:val="0043687E"/>
    <w:rsid w:val="00436B08"/>
    <w:rsid w:val="00437008"/>
    <w:rsid w:val="00437419"/>
    <w:rsid w:val="00437740"/>
    <w:rsid w:val="0043787F"/>
    <w:rsid w:val="00440287"/>
    <w:rsid w:val="00440A76"/>
    <w:rsid w:val="00440F05"/>
    <w:rsid w:val="004412AF"/>
    <w:rsid w:val="004417C3"/>
    <w:rsid w:val="00441E98"/>
    <w:rsid w:val="0044403C"/>
    <w:rsid w:val="004452A7"/>
    <w:rsid w:val="00445685"/>
    <w:rsid w:val="00446EF9"/>
    <w:rsid w:val="00447271"/>
    <w:rsid w:val="0044765D"/>
    <w:rsid w:val="004478E1"/>
    <w:rsid w:val="00447C75"/>
    <w:rsid w:val="0045009D"/>
    <w:rsid w:val="004500F9"/>
    <w:rsid w:val="0045112E"/>
    <w:rsid w:val="004511B5"/>
    <w:rsid w:val="00451960"/>
    <w:rsid w:val="0045242E"/>
    <w:rsid w:val="00452949"/>
    <w:rsid w:val="00452FB1"/>
    <w:rsid w:val="004530C7"/>
    <w:rsid w:val="00453350"/>
    <w:rsid w:val="004538C5"/>
    <w:rsid w:val="00453B21"/>
    <w:rsid w:val="00454460"/>
    <w:rsid w:val="00455230"/>
    <w:rsid w:val="00456BF7"/>
    <w:rsid w:val="00456D47"/>
    <w:rsid w:val="0045746A"/>
    <w:rsid w:val="00457718"/>
    <w:rsid w:val="00457822"/>
    <w:rsid w:val="00457844"/>
    <w:rsid w:val="00457DCC"/>
    <w:rsid w:val="00457EC4"/>
    <w:rsid w:val="004609AD"/>
    <w:rsid w:val="00460ABD"/>
    <w:rsid w:val="00461266"/>
    <w:rsid w:val="004612EB"/>
    <w:rsid w:val="00461526"/>
    <w:rsid w:val="0046179E"/>
    <w:rsid w:val="00462288"/>
    <w:rsid w:val="004627AD"/>
    <w:rsid w:val="00462968"/>
    <w:rsid w:val="00462F53"/>
    <w:rsid w:val="00463D38"/>
    <w:rsid w:val="00463E02"/>
    <w:rsid w:val="00463F97"/>
    <w:rsid w:val="00463FFC"/>
    <w:rsid w:val="00464B32"/>
    <w:rsid w:val="00464CB3"/>
    <w:rsid w:val="00464E8E"/>
    <w:rsid w:val="00464F58"/>
    <w:rsid w:val="004656E1"/>
    <w:rsid w:val="00465721"/>
    <w:rsid w:val="00465848"/>
    <w:rsid w:val="00465888"/>
    <w:rsid w:val="00465C6B"/>
    <w:rsid w:val="00466A60"/>
    <w:rsid w:val="00466FAD"/>
    <w:rsid w:val="0046765E"/>
    <w:rsid w:val="00467DCC"/>
    <w:rsid w:val="00467DFA"/>
    <w:rsid w:val="0047066E"/>
    <w:rsid w:val="00470A98"/>
    <w:rsid w:val="00470E10"/>
    <w:rsid w:val="0047111B"/>
    <w:rsid w:val="00471317"/>
    <w:rsid w:val="004714A8"/>
    <w:rsid w:val="00471912"/>
    <w:rsid w:val="00472183"/>
    <w:rsid w:val="00472184"/>
    <w:rsid w:val="0047240D"/>
    <w:rsid w:val="00473B44"/>
    <w:rsid w:val="00474620"/>
    <w:rsid w:val="00474D40"/>
    <w:rsid w:val="004753B6"/>
    <w:rsid w:val="00475516"/>
    <w:rsid w:val="004765DA"/>
    <w:rsid w:val="00476967"/>
    <w:rsid w:val="004769C2"/>
    <w:rsid w:val="00476F36"/>
    <w:rsid w:val="00477212"/>
    <w:rsid w:val="00477FD9"/>
    <w:rsid w:val="00480486"/>
    <w:rsid w:val="00480814"/>
    <w:rsid w:val="00480B65"/>
    <w:rsid w:val="004816A0"/>
    <w:rsid w:val="00481739"/>
    <w:rsid w:val="00481A75"/>
    <w:rsid w:val="00481CE3"/>
    <w:rsid w:val="0048290C"/>
    <w:rsid w:val="004831A5"/>
    <w:rsid w:val="00483E27"/>
    <w:rsid w:val="004846DF"/>
    <w:rsid w:val="00484DF8"/>
    <w:rsid w:val="00484EE8"/>
    <w:rsid w:val="004852DF"/>
    <w:rsid w:val="0048644B"/>
    <w:rsid w:val="004864A9"/>
    <w:rsid w:val="00487530"/>
    <w:rsid w:val="004879AD"/>
    <w:rsid w:val="00487B6B"/>
    <w:rsid w:val="00487CE8"/>
    <w:rsid w:val="00490626"/>
    <w:rsid w:val="00490F29"/>
    <w:rsid w:val="00491593"/>
    <w:rsid w:val="004915CE"/>
    <w:rsid w:val="00491C02"/>
    <w:rsid w:val="00491FC2"/>
    <w:rsid w:val="004924FB"/>
    <w:rsid w:val="00492698"/>
    <w:rsid w:val="004927E4"/>
    <w:rsid w:val="0049338D"/>
    <w:rsid w:val="004944E3"/>
    <w:rsid w:val="004954BD"/>
    <w:rsid w:val="004971A3"/>
    <w:rsid w:val="00497283"/>
    <w:rsid w:val="00497C69"/>
    <w:rsid w:val="004A060A"/>
    <w:rsid w:val="004A0EBD"/>
    <w:rsid w:val="004A13CE"/>
    <w:rsid w:val="004A1A44"/>
    <w:rsid w:val="004A245E"/>
    <w:rsid w:val="004A2702"/>
    <w:rsid w:val="004A29E1"/>
    <w:rsid w:val="004A2F42"/>
    <w:rsid w:val="004A3581"/>
    <w:rsid w:val="004A3777"/>
    <w:rsid w:val="004A391D"/>
    <w:rsid w:val="004A4F53"/>
    <w:rsid w:val="004A5678"/>
    <w:rsid w:val="004A5824"/>
    <w:rsid w:val="004A5A7E"/>
    <w:rsid w:val="004A5E89"/>
    <w:rsid w:val="004A634F"/>
    <w:rsid w:val="004A6878"/>
    <w:rsid w:val="004A6D89"/>
    <w:rsid w:val="004A73FE"/>
    <w:rsid w:val="004B0AC9"/>
    <w:rsid w:val="004B0C3A"/>
    <w:rsid w:val="004B1385"/>
    <w:rsid w:val="004B1D14"/>
    <w:rsid w:val="004B2213"/>
    <w:rsid w:val="004B3034"/>
    <w:rsid w:val="004B35F9"/>
    <w:rsid w:val="004B3A57"/>
    <w:rsid w:val="004B3A85"/>
    <w:rsid w:val="004B4053"/>
    <w:rsid w:val="004B498B"/>
    <w:rsid w:val="004B52D3"/>
    <w:rsid w:val="004B5A41"/>
    <w:rsid w:val="004B6875"/>
    <w:rsid w:val="004B7A9C"/>
    <w:rsid w:val="004B7AC8"/>
    <w:rsid w:val="004C0586"/>
    <w:rsid w:val="004C0808"/>
    <w:rsid w:val="004C1284"/>
    <w:rsid w:val="004C1A16"/>
    <w:rsid w:val="004C2091"/>
    <w:rsid w:val="004C24D6"/>
    <w:rsid w:val="004C2C7D"/>
    <w:rsid w:val="004C430E"/>
    <w:rsid w:val="004C47F0"/>
    <w:rsid w:val="004C5066"/>
    <w:rsid w:val="004C5172"/>
    <w:rsid w:val="004C5177"/>
    <w:rsid w:val="004C51CC"/>
    <w:rsid w:val="004C520B"/>
    <w:rsid w:val="004C5487"/>
    <w:rsid w:val="004C5C71"/>
    <w:rsid w:val="004C6826"/>
    <w:rsid w:val="004C6B1C"/>
    <w:rsid w:val="004C71CD"/>
    <w:rsid w:val="004C7962"/>
    <w:rsid w:val="004C7A73"/>
    <w:rsid w:val="004C7E09"/>
    <w:rsid w:val="004D00FB"/>
    <w:rsid w:val="004D0DA5"/>
    <w:rsid w:val="004D1D32"/>
    <w:rsid w:val="004D201F"/>
    <w:rsid w:val="004D3149"/>
    <w:rsid w:val="004D3A35"/>
    <w:rsid w:val="004D40FB"/>
    <w:rsid w:val="004D4EE2"/>
    <w:rsid w:val="004D59F9"/>
    <w:rsid w:val="004D704B"/>
    <w:rsid w:val="004D7485"/>
    <w:rsid w:val="004D7AB9"/>
    <w:rsid w:val="004E0C17"/>
    <w:rsid w:val="004E0E13"/>
    <w:rsid w:val="004E182B"/>
    <w:rsid w:val="004E1E0B"/>
    <w:rsid w:val="004E212F"/>
    <w:rsid w:val="004E231D"/>
    <w:rsid w:val="004E2434"/>
    <w:rsid w:val="004E2476"/>
    <w:rsid w:val="004E2537"/>
    <w:rsid w:val="004E28A8"/>
    <w:rsid w:val="004E37CE"/>
    <w:rsid w:val="004E3C51"/>
    <w:rsid w:val="004E3D9D"/>
    <w:rsid w:val="004E4393"/>
    <w:rsid w:val="004E44BB"/>
    <w:rsid w:val="004E4721"/>
    <w:rsid w:val="004E5437"/>
    <w:rsid w:val="004E55DB"/>
    <w:rsid w:val="004E5CF0"/>
    <w:rsid w:val="004E6928"/>
    <w:rsid w:val="004E6E16"/>
    <w:rsid w:val="004E796B"/>
    <w:rsid w:val="004F00EA"/>
    <w:rsid w:val="004F0656"/>
    <w:rsid w:val="004F0B26"/>
    <w:rsid w:val="004F109E"/>
    <w:rsid w:val="004F16A5"/>
    <w:rsid w:val="004F1E91"/>
    <w:rsid w:val="004F25F8"/>
    <w:rsid w:val="004F2BBB"/>
    <w:rsid w:val="004F2C33"/>
    <w:rsid w:val="004F2DEF"/>
    <w:rsid w:val="004F3190"/>
    <w:rsid w:val="004F351A"/>
    <w:rsid w:val="004F36F3"/>
    <w:rsid w:val="004F38BA"/>
    <w:rsid w:val="004F4FBB"/>
    <w:rsid w:val="004F5433"/>
    <w:rsid w:val="004F6401"/>
    <w:rsid w:val="004F6BBE"/>
    <w:rsid w:val="004F6D35"/>
    <w:rsid w:val="0050018E"/>
    <w:rsid w:val="00500C8A"/>
    <w:rsid w:val="00501474"/>
    <w:rsid w:val="00501BD4"/>
    <w:rsid w:val="00502D23"/>
    <w:rsid w:val="00503276"/>
    <w:rsid w:val="005034BB"/>
    <w:rsid w:val="00503504"/>
    <w:rsid w:val="00503D44"/>
    <w:rsid w:val="00503E05"/>
    <w:rsid w:val="005046B9"/>
    <w:rsid w:val="00504AF0"/>
    <w:rsid w:val="00505C20"/>
    <w:rsid w:val="00505E71"/>
    <w:rsid w:val="00505F8A"/>
    <w:rsid w:val="0050608C"/>
    <w:rsid w:val="00506353"/>
    <w:rsid w:val="00506776"/>
    <w:rsid w:val="00506BB9"/>
    <w:rsid w:val="00506E03"/>
    <w:rsid w:val="00506E4C"/>
    <w:rsid w:val="005075CB"/>
    <w:rsid w:val="00507970"/>
    <w:rsid w:val="0051093D"/>
    <w:rsid w:val="00510A18"/>
    <w:rsid w:val="00510D1D"/>
    <w:rsid w:val="00510D82"/>
    <w:rsid w:val="00510F0D"/>
    <w:rsid w:val="00511180"/>
    <w:rsid w:val="00511C8A"/>
    <w:rsid w:val="00511F6C"/>
    <w:rsid w:val="0051204E"/>
    <w:rsid w:val="005123EA"/>
    <w:rsid w:val="0051263B"/>
    <w:rsid w:val="00512CCA"/>
    <w:rsid w:val="005135E7"/>
    <w:rsid w:val="0051456E"/>
    <w:rsid w:val="005147A7"/>
    <w:rsid w:val="0051481F"/>
    <w:rsid w:val="00514C16"/>
    <w:rsid w:val="0051603F"/>
    <w:rsid w:val="00516EF6"/>
    <w:rsid w:val="00517218"/>
    <w:rsid w:val="00517ABA"/>
    <w:rsid w:val="0052022A"/>
    <w:rsid w:val="00520C64"/>
    <w:rsid w:val="00520CDF"/>
    <w:rsid w:val="005211F2"/>
    <w:rsid w:val="00522012"/>
    <w:rsid w:val="0052202A"/>
    <w:rsid w:val="00522C0A"/>
    <w:rsid w:val="00522CCB"/>
    <w:rsid w:val="00522E69"/>
    <w:rsid w:val="00522E82"/>
    <w:rsid w:val="005235C0"/>
    <w:rsid w:val="0052373A"/>
    <w:rsid w:val="00523FC0"/>
    <w:rsid w:val="00524951"/>
    <w:rsid w:val="00524CA3"/>
    <w:rsid w:val="00525287"/>
    <w:rsid w:val="00525444"/>
    <w:rsid w:val="00525C24"/>
    <w:rsid w:val="00525EFF"/>
    <w:rsid w:val="00527626"/>
    <w:rsid w:val="005304CA"/>
    <w:rsid w:val="00530B6A"/>
    <w:rsid w:val="00530D6C"/>
    <w:rsid w:val="00531070"/>
    <w:rsid w:val="00531C1D"/>
    <w:rsid w:val="00531DB2"/>
    <w:rsid w:val="0053244F"/>
    <w:rsid w:val="00533ABC"/>
    <w:rsid w:val="00534910"/>
    <w:rsid w:val="00534DF7"/>
    <w:rsid w:val="005360C9"/>
    <w:rsid w:val="0053655C"/>
    <w:rsid w:val="0053689E"/>
    <w:rsid w:val="00536DFF"/>
    <w:rsid w:val="005375B0"/>
    <w:rsid w:val="00537944"/>
    <w:rsid w:val="005406CF"/>
    <w:rsid w:val="00540848"/>
    <w:rsid w:val="00540E7E"/>
    <w:rsid w:val="0054160E"/>
    <w:rsid w:val="0054182E"/>
    <w:rsid w:val="0054195C"/>
    <w:rsid w:val="00542037"/>
    <w:rsid w:val="005438BC"/>
    <w:rsid w:val="0054396E"/>
    <w:rsid w:val="00544147"/>
    <w:rsid w:val="005447B8"/>
    <w:rsid w:val="00544AB1"/>
    <w:rsid w:val="00546091"/>
    <w:rsid w:val="0054631C"/>
    <w:rsid w:val="005472A6"/>
    <w:rsid w:val="0054732A"/>
    <w:rsid w:val="0054767E"/>
    <w:rsid w:val="005478B9"/>
    <w:rsid w:val="00547BC3"/>
    <w:rsid w:val="00547C0C"/>
    <w:rsid w:val="00551749"/>
    <w:rsid w:val="00551E2D"/>
    <w:rsid w:val="00552538"/>
    <w:rsid w:val="00553AC5"/>
    <w:rsid w:val="00554158"/>
    <w:rsid w:val="005546F0"/>
    <w:rsid w:val="00554B3E"/>
    <w:rsid w:val="00555EF5"/>
    <w:rsid w:val="00555FAF"/>
    <w:rsid w:val="005564C0"/>
    <w:rsid w:val="0055662E"/>
    <w:rsid w:val="00556675"/>
    <w:rsid w:val="0055794C"/>
    <w:rsid w:val="00557A88"/>
    <w:rsid w:val="00560490"/>
    <w:rsid w:val="0056080D"/>
    <w:rsid w:val="00560C7B"/>
    <w:rsid w:val="00560E87"/>
    <w:rsid w:val="00561A8E"/>
    <w:rsid w:val="00561F2F"/>
    <w:rsid w:val="005623AC"/>
    <w:rsid w:val="00562922"/>
    <w:rsid w:val="00562BAC"/>
    <w:rsid w:val="00563042"/>
    <w:rsid w:val="0056323B"/>
    <w:rsid w:val="005639FC"/>
    <w:rsid w:val="00563ED7"/>
    <w:rsid w:val="00564349"/>
    <w:rsid w:val="0056450F"/>
    <w:rsid w:val="00564DE6"/>
    <w:rsid w:val="00565405"/>
    <w:rsid w:val="00565876"/>
    <w:rsid w:val="00566866"/>
    <w:rsid w:val="005672B3"/>
    <w:rsid w:val="005679F9"/>
    <w:rsid w:val="00567BB3"/>
    <w:rsid w:val="00567C04"/>
    <w:rsid w:val="005703C7"/>
    <w:rsid w:val="005707BA"/>
    <w:rsid w:val="00571443"/>
    <w:rsid w:val="005715FB"/>
    <w:rsid w:val="00571BA5"/>
    <w:rsid w:val="005724EA"/>
    <w:rsid w:val="0057275A"/>
    <w:rsid w:val="005730FD"/>
    <w:rsid w:val="005732B7"/>
    <w:rsid w:val="005737D5"/>
    <w:rsid w:val="00573955"/>
    <w:rsid w:val="00574351"/>
    <w:rsid w:val="0057440B"/>
    <w:rsid w:val="00574964"/>
    <w:rsid w:val="00574D10"/>
    <w:rsid w:val="00574FB1"/>
    <w:rsid w:val="00575B74"/>
    <w:rsid w:val="00575DA2"/>
    <w:rsid w:val="005761AC"/>
    <w:rsid w:val="00576378"/>
    <w:rsid w:val="00576B1B"/>
    <w:rsid w:val="00576FA9"/>
    <w:rsid w:val="00577618"/>
    <w:rsid w:val="005779F2"/>
    <w:rsid w:val="00577A76"/>
    <w:rsid w:val="00577B6A"/>
    <w:rsid w:val="00577F86"/>
    <w:rsid w:val="00580C33"/>
    <w:rsid w:val="00581118"/>
    <w:rsid w:val="005811FE"/>
    <w:rsid w:val="00582321"/>
    <w:rsid w:val="005823D1"/>
    <w:rsid w:val="005825D7"/>
    <w:rsid w:val="00582C4F"/>
    <w:rsid w:val="00582EA6"/>
    <w:rsid w:val="0058400A"/>
    <w:rsid w:val="00584D8F"/>
    <w:rsid w:val="005857F0"/>
    <w:rsid w:val="00585C76"/>
    <w:rsid w:val="00585F06"/>
    <w:rsid w:val="00585FAE"/>
    <w:rsid w:val="005865F5"/>
    <w:rsid w:val="00586606"/>
    <w:rsid w:val="00586719"/>
    <w:rsid w:val="00586765"/>
    <w:rsid w:val="00586F30"/>
    <w:rsid w:val="00587395"/>
    <w:rsid w:val="00587E38"/>
    <w:rsid w:val="0059002C"/>
    <w:rsid w:val="00590895"/>
    <w:rsid w:val="00591A32"/>
    <w:rsid w:val="00591F1F"/>
    <w:rsid w:val="00592686"/>
    <w:rsid w:val="00593079"/>
    <w:rsid w:val="00593089"/>
    <w:rsid w:val="005945C4"/>
    <w:rsid w:val="005957E5"/>
    <w:rsid w:val="00595812"/>
    <w:rsid w:val="0059585F"/>
    <w:rsid w:val="00595913"/>
    <w:rsid w:val="005959E2"/>
    <w:rsid w:val="00596040"/>
    <w:rsid w:val="005964FC"/>
    <w:rsid w:val="00596805"/>
    <w:rsid w:val="00596B11"/>
    <w:rsid w:val="00597124"/>
    <w:rsid w:val="005972F1"/>
    <w:rsid w:val="005974A9"/>
    <w:rsid w:val="00597737"/>
    <w:rsid w:val="00597CEF"/>
    <w:rsid w:val="005A0392"/>
    <w:rsid w:val="005A03C8"/>
    <w:rsid w:val="005A0AC2"/>
    <w:rsid w:val="005A0C49"/>
    <w:rsid w:val="005A0F71"/>
    <w:rsid w:val="005A278F"/>
    <w:rsid w:val="005A2900"/>
    <w:rsid w:val="005A299C"/>
    <w:rsid w:val="005A32F4"/>
    <w:rsid w:val="005A47D1"/>
    <w:rsid w:val="005A4D6D"/>
    <w:rsid w:val="005A5A06"/>
    <w:rsid w:val="005A5D3D"/>
    <w:rsid w:val="005A62D9"/>
    <w:rsid w:val="005A62FD"/>
    <w:rsid w:val="005A656C"/>
    <w:rsid w:val="005A6AA4"/>
    <w:rsid w:val="005A6CEB"/>
    <w:rsid w:val="005A73EA"/>
    <w:rsid w:val="005A76F8"/>
    <w:rsid w:val="005A7D8C"/>
    <w:rsid w:val="005B014B"/>
    <w:rsid w:val="005B0ECD"/>
    <w:rsid w:val="005B12DF"/>
    <w:rsid w:val="005B1398"/>
    <w:rsid w:val="005B1993"/>
    <w:rsid w:val="005B19B6"/>
    <w:rsid w:val="005B227C"/>
    <w:rsid w:val="005B2507"/>
    <w:rsid w:val="005B268C"/>
    <w:rsid w:val="005B2692"/>
    <w:rsid w:val="005B313E"/>
    <w:rsid w:val="005B3156"/>
    <w:rsid w:val="005B36C9"/>
    <w:rsid w:val="005B3BFC"/>
    <w:rsid w:val="005B3F97"/>
    <w:rsid w:val="005B5416"/>
    <w:rsid w:val="005B5787"/>
    <w:rsid w:val="005B5EEF"/>
    <w:rsid w:val="005B7525"/>
    <w:rsid w:val="005B79DF"/>
    <w:rsid w:val="005C0108"/>
    <w:rsid w:val="005C0511"/>
    <w:rsid w:val="005C082F"/>
    <w:rsid w:val="005C1B52"/>
    <w:rsid w:val="005C1D54"/>
    <w:rsid w:val="005C1DED"/>
    <w:rsid w:val="005C2920"/>
    <w:rsid w:val="005C30EB"/>
    <w:rsid w:val="005C3100"/>
    <w:rsid w:val="005C3219"/>
    <w:rsid w:val="005C3801"/>
    <w:rsid w:val="005C3D7F"/>
    <w:rsid w:val="005C3F3F"/>
    <w:rsid w:val="005C403E"/>
    <w:rsid w:val="005C4085"/>
    <w:rsid w:val="005C4207"/>
    <w:rsid w:val="005C4835"/>
    <w:rsid w:val="005C4F44"/>
    <w:rsid w:val="005C4FA3"/>
    <w:rsid w:val="005C508A"/>
    <w:rsid w:val="005C55A9"/>
    <w:rsid w:val="005C5A93"/>
    <w:rsid w:val="005C6366"/>
    <w:rsid w:val="005C6C41"/>
    <w:rsid w:val="005C6D06"/>
    <w:rsid w:val="005C7631"/>
    <w:rsid w:val="005C7656"/>
    <w:rsid w:val="005C7793"/>
    <w:rsid w:val="005C7C9F"/>
    <w:rsid w:val="005D016A"/>
    <w:rsid w:val="005D0715"/>
    <w:rsid w:val="005D0C69"/>
    <w:rsid w:val="005D11A5"/>
    <w:rsid w:val="005D200C"/>
    <w:rsid w:val="005D317B"/>
    <w:rsid w:val="005D356D"/>
    <w:rsid w:val="005D43EB"/>
    <w:rsid w:val="005D4C73"/>
    <w:rsid w:val="005D5616"/>
    <w:rsid w:val="005D59BA"/>
    <w:rsid w:val="005D5C71"/>
    <w:rsid w:val="005D64BC"/>
    <w:rsid w:val="005D667F"/>
    <w:rsid w:val="005D7884"/>
    <w:rsid w:val="005E05A4"/>
    <w:rsid w:val="005E0D64"/>
    <w:rsid w:val="005E0E2F"/>
    <w:rsid w:val="005E0F9A"/>
    <w:rsid w:val="005E151F"/>
    <w:rsid w:val="005E1B28"/>
    <w:rsid w:val="005E2A18"/>
    <w:rsid w:val="005E306E"/>
    <w:rsid w:val="005E4366"/>
    <w:rsid w:val="005E4B50"/>
    <w:rsid w:val="005E4BF3"/>
    <w:rsid w:val="005E5424"/>
    <w:rsid w:val="005E63B2"/>
    <w:rsid w:val="005E66BE"/>
    <w:rsid w:val="005E6A77"/>
    <w:rsid w:val="005E7412"/>
    <w:rsid w:val="005F0301"/>
    <w:rsid w:val="005F04A5"/>
    <w:rsid w:val="005F0515"/>
    <w:rsid w:val="005F06DB"/>
    <w:rsid w:val="005F0F7D"/>
    <w:rsid w:val="005F11B2"/>
    <w:rsid w:val="005F16AF"/>
    <w:rsid w:val="005F1D81"/>
    <w:rsid w:val="005F1F4E"/>
    <w:rsid w:val="005F1FC0"/>
    <w:rsid w:val="005F1FFF"/>
    <w:rsid w:val="005F27D3"/>
    <w:rsid w:val="005F2846"/>
    <w:rsid w:val="005F46F3"/>
    <w:rsid w:val="005F47E1"/>
    <w:rsid w:val="005F5273"/>
    <w:rsid w:val="005F5564"/>
    <w:rsid w:val="005F5B0E"/>
    <w:rsid w:val="005F5B5C"/>
    <w:rsid w:val="005F5F71"/>
    <w:rsid w:val="005F74C9"/>
    <w:rsid w:val="005F7993"/>
    <w:rsid w:val="005F7AC1"/>
    <w:rsid w:val="005F7B42"/>
    <w:rsid w:val="0060021B"/>
    <w:rsid w:val="00600771"/>
    <w:rsid w:val="00600B5A"/>
    <w:rsid w:val="006019DC"/>
    <w:rsid w:val="006026E0"/>
    <w:rsid w:val="00602CE5"/>
    <w:rsid w:val="00603124"/>
    <w:rsid w:val="00603342"/>
    <w:rsid w:val="006033F8"/>
    <w:rsid w:val="00604A07"/>
    <w:rsid w:val="0060589F"/>
    <w:rsid w:val="00606718"/>
    <w:rsid w:val="00606A67"/>
    <w:rsid w:val="00606E73"/>
    <w:rsid w:val="00607065"/>
    <w:rsid w:val="0060730D"/>
    <w:rsid w:val="00607551"/>
    <w:rsid w:val="006079DC"/>
    <w:rsid w:val="006101EB"/>
    <w:rsid w:val="00610961"/>
    <w:rsid w:val="00611396"/>
    <w:rsid w:val="00611B07"/>
    <w:rsid w:val="00611E9E"/>
    <w:rsid w:val="006127E9"/>
    <w:rsid w:val="00612A38"/>
    <w:rsid w:val="00612A5F"/>
    <w:rsid w:val="00612EF5"/>
    <w:rsid w:val="00612FBD"/>
    <w:rsid w:val="00613264"/>
    <w:rsid w:val="0061427F"/>
    <w:rsid w:val="0061458D"/>
    <w:rsid w:val="0061459B"/>
    <w:rsid w:val="006149CF"/>
    <w:rsid w:val="00614AB8"/>
    <w:rsid w:val="0061586E"/>
    <w:rsid w:val="00615D00"/>
    <w:rsid w:val="006171E1"/>
    <w:rsid w:val="0061729D"/>
    <w:rsid w:val="0062026E"/>
    <w:rsid w:val="006208AB"/>
    <w:rsid w:val="00620AE8"/>
    <w:rsid w:val="00620B89"/>
    <w:rsid w:val="0062142F"/>
    <w:rsid w:val="0062171E"/>
    <w:rsid w:val="00621863"/>
    <w:rsid w:val="00622514"/>
    <w:rsid w:val="00623522"/>
    <w:rsid w:val="006236B4"/>
    <w:rsid w:val="00623CCF"/>
    <w:rsid w:val="0062406C"/>
    <w:rsid w:val="0062413D"/>
    <w:rsid w:val="00624CB7"/>
    <w:rsid w:val="00624D2D"/>
    <w:rsid w:val="00625209"/>
    <w:rsid w:val="00625ECF"/>
    <w:rsid w:val="00626425"/>
    <w:rsid w:val="006271FE"/>
    <w:rsid w:val="0062747E"/>
    <w:rsid w:val="006307C8"/>
    <w:rsid w:val="00630F31"/>
    <w:rsid w:val="006311A6"/>
    <w:rsid w:val="00631439"/>
    <w:rsid w:val="0063371A"/>
    <w:rsid w:val="00633879"/>
    <w:rsid w:val="006339D4"/>
    <w:rsid w:val="006345D3"/>
    <w:rsid w:val="00634DA7"/>
    <w:rsid w:val="00634F22"/>
    <w:rsid w:val="00635133"/>
    <w:rsid w:val="006355F1"/>
    <w:rsid w:val="0063588F"/>
    <w:rsid w:val="00635924"/>
    <w:rsid w:val="00635F2D"/>
    <w:rsid w:val="00636A73"/>
    <w:rsid w:val="00636A9C"/>
    <w:rsid w:val="00636FD4"/>
    <w:rsid w:val="00637471"/>
    <w:rsid w:val="0064022F"/>
    <w:rsid w:val="00640A86"/>
    <w:rsid w:val="00640B89"/>
    <w:rsid w:val="00641409"/>
    <w:rsid w:val="00641C66"/>
    <w:rsid w:val="006422BB"/>
    <w:rsid w:val="0064323B"/>
    <w:rsid w:val="0064349B"/>
    <w:rsid w:val="00643B9B"/>
    <w:rsid w:val="00643EC3"/>
    <w:rsid w:val="00643F66"/>
    <w:rsid w:val="006447C6"/>
    <w:rsid w:val="0064622B"/>
    <w:rsid w:val="00646B0C"/>
    <w:rsid w:val="006475A2"/>
    <w:rsid w:val="00647DC6"/>
    <w:rsid w:val="00647DF1"/>
    <w:rsid w:val="0065043C"/>
    <w:rsid w:val="006517DF"/>
    <w:rsid w:val="00651A21"/>
    <w:rsid w:val="00651F22"/>
    <w:rsid w:val="00653156"/>
    <w:rsid w:val="00653C88"/>
    <w:rsid w:val="00654ADF"/>
    <w:rsid w:val="00654E14"/>
    <w:rsid w:val="00654E48"/>
    <w:rsid w:val="0065519F"/>
    <w:rsid w:val="006558F2"/>
    <w:rsid w:val="00655961"/>
    <w:rsid w:val="00655DB4"/>
    <w:rsid w:val="00657B1D"/>
    <w:rsid w:val="00657BCB"/>
    <w:rsid w:val="006601B1"/>
    <w:rsid w:val="00660261"/>
    <w:rsid w:val="00660300"/>
    <w:rsid w:val="00660F95"/>
    <w:rsid w:val="006617F5"/>
    <w:rsid w:val="00661881"/>
    <w:rsid w:val="006618F3"/>
    <w:rsid w:val="0066192B"/>
    <w:rsid w:val="00661B61"/>
    <w:rsid w:val="00661D26"/>
    <w:rsid w:val="0066201B"/>
    <w:rsid w:val="00662862"/>
    <w:rsid w:val="00662A56"/>
    <w:rsid w:val="00662CAB"/>
    <w:rsid w:val="00663F95"/>
    <w:rsid w:val="0066406B"/>
    <w:rsid w:val="006641F5"/>
    <w:rsid w:val="00665362"/>
    <w:rsid w:val="00665C97"/>
    <w:rsid w:val="00666202"/>
    <w:rsid w:val="00666768"/>
    <w:rsid w:val="00667385"/>
    <w:rsid w:val="00667495"/>
    <w:rsid w:val="0066772F"/>
    <w:rsid w:val="00667AA2"/>
    <w:rsid w:val="00667D45"/>
    <w:rsid w:val="0067036A"/>
    <w:rsid w:val="0067101D"/>
    <w:rsid w:val="00671AA1"/>
    <w:rsid w:val="00672BB3"/>
    <w:rsid w:val="00672E14"/>
    <w:rsid w:val="006746EE"/>
    <w:rsid w:val="00674765"/>
    <w:rsid w:val="00674A02"/>
    <w:rsid w:val="00674ACB"/>
    <w:rsid w:val="00675333"/>
    <w:rsid w:val="006756C7"/>
    <w:rsid w:val="00675988"/>
    <w:rsid w:val="006759E6"/>
    <w:rsid w:val="00675FF6"/>
    <w:rsid w:val="0067745B"/>
    <w:rsid w:val="00677F96"/>
    <w:rsid w:val="00677FBE"/>
    <w:rsid w:val="00680482"/>
    <w:rsid w:val="00680D3B"/>
    <w:rsid w:val="006810AC"/>
    <w:rsid w:val="00681835"/>
    <w:rsid w:val="00681BD5"/>
    <w:rsid w:val="00682288"/>
    <w:rsid w:val="006824D0"/>
    <w:rsid w:val="0068292A"/>
    <w:rsid w:val="00683B86"/>
    <w:rsid w:val="00683D62"/>
    <w:rsid w:val="00684C3A"/>
    <w:rsid w:val="006855DE"/>
    <w:rsid w:val="0068560C"/>
    <w:rsid w:val="00686B64"/>
    <w:rsid w:val="00687F81"/>
    <w:rsid w:val="00691F28"/>
    <w:rsid w:val="006921AC"/>
    <w:rsid w:val="006928AC"/>
    <w:rsid w:val="006933A1"/>
    <w:rsid w:val="00693A10"/>
    <w:rsid w:val="00693C0F"/>
    <w:rsid w:val="006945F6"/>
    <w:rsid w:val="00694C33"/>
    <w:rsid w:val="00694E66"/>
    <w:rsid w:val="00694E9C"/>
    <w:rsid w:val="00695248"/>
    <w:rsid w:val="006958C5"/>
    <w:rsid w:val="00695CE8"/>
    <w:rsid w:val="00696CB9"/>
    <w:rsid w:val="00696F96"/>
    <w:rsid w:val="00696FC7"/>
    <w:rsid w:val="006970F2"/>
    <w:rsid w:val="006976C0"/>
    <w:rsid w:val="00697F22"/>
    <w:rsid w:val="006A024D"/>
    <w:rsid w:val="006A0E4E"/>
    <w:rsid w:val="006A1389"/>
    <w:rsid w:val="006A14F2"/>
    <w:rsid w:val="006A152D"/>
    <w:rsid w:val="006A2558"/>
    <w:rsid w:val="006A2742"/>
    <w:rsid w:val="006A27A0"/>
    <w:rsid w:val="006A28A2"/>
    <w:rsid w:val="006A2E22"/>
    <w:rsid w:val="006A3A25"/>
    <w:rsid w:val="006A3A75"/>
    <w:rsid w:val="006A46CB"/>
    <w:rsid w:val="006A4A8E"/>
    <w:rsid w:val="006A4E4F"/>
    <w:rsid w:val="006A5F13"/>
    <w:rsid w:val="006A6133"/>
    <w:rsid w:val="006A6326"/>
    <w:rsid w:val="006A6E4D"/>
    <w:rsid w:val="006A7956"/>
    <w:rsid w:val="006B05B6"/>
    <w:rsid w:val="006B0847"/>
    <w:rsid w:val="006B17B5"/>
    <w:rsid w:val="006B244A"/>
    <w:rsid w:val="006B25BE"/>
    <w:rsid w:val="006B29E8"/>
    <w:rsid w:val="006B3199"/>
    <w:rsid w:val="006B35AD"/>
    <w:rsid w:val="006B4450"/>
    <w:rsid w:val="006B45B2"/>
    <w:rsid w:val="006B620A"/>
    <w:rsid w:val="006B646D"/>
    <w:rsid w:val="006B6CA2"/>
    <w:rsid w:val="006B6E41"/>
    <w:rsid w:val="006B7C49"/>
    <w:rsid w:val="006B7F01"/>
    <w:rsid w:val="006B7FFB"/>
    <w:rsid w:val="006C0106"/>
    <w:rsid w:val="006C0191"/>
    <w:rsid w:val="006C050C"/>
    <w:rsid w:val="006C0DF3"/>
    <w:rsid w:val="006C169B"/>
    <w:rsid w:val="006C16BC"/>
    <w:rsid w:val="006C1778"/>
    <w:rsid w:val="006C17C0"/>
    <w:rsid w:val="006C1857"/>
    <w:rsid w:val="006C19D9"/>
    <w:rsid w:val="006C22A9"/>
    <w:rsid w:val="006C2974"/>
    <w:rsid w:val="006C30DA"/>
    <w:rsid w:val="006C3558"/>
    <w:rsid w:val="006C38E8"/>
    <w:rsid w:val="006C39BB"/>
    <w:rsid w:val="006C44F7"/>
    <w:rsid w:val="006C4516"/>
    <w:rsid w:val="006C471C"/>
    <w:rsid w:val="006C4883"/>
    <w:rsid w:val="006C4EC6"/>
    <w:rsid w:val="006C5257"/>
    <w:rsid w:val="006C5310"/>
    <w:rsid w:val="006C60F3"/>
    <w:rsid w:val="006C615D"/>
    <w:rsid w:val="006C618C"/>
    <w:rsid w:val="006C6504"/>
    <w:rsid w:val="006C6B14"/>
    <w:rsid w:val="006C6FDC"/>
    <w:rsid w:val="006C713C"/>
    <w:rsid w:val="006C717F"/>
    <w:rsid w:val="006C762B"/>
    <w:rsid w:val="006C790A"/>
    <w:rsid w:val="006C7C22"/>
    <w:rsid w:val="006C7DAB"/>
    <w:rsid w:val="006C7F3C"/>
    <w:rsid w:val="006D02FF"/>
    <w:rsid w:val="006D08F8"/>
    <w:rsid w:val="006D0F55"/>
    <w:rsid w:val="006D16DE"/>
    <w:rsid w:val="006D226A"/>
    <w:rsid w:val="006D25F1"/>
    <w:rsid w:val="006D2861"/>
    <w:rsid w:val="006D2C83"/>
    <w:rsid w:val="006D43C7"/>
    <w:rsid w:val="006D6147"/>
    <w:rsid w:val="006D61B0"/>
    <w:rsid w:val="006D678B"/>
    <w:rsid w:val="006D6D1F"/>
    <w:rsid w:val="006D7436"/>
    <w:rsid w:val="006D79E7"/>
    <w:rsid w:val="006E05C2"/>
    <w:rsid w:val="006E06CE"/>
    <w:rsid w:val="006E0814"/>
    <w:rsid w:val="006E0EFD"/>
    <w:rsid w:val="006E0F45"/>
    <w:rsid w:val="006E0F73"/>
    <w:rsid w:val="006E1085"/>
    <w:rsid w:val="006E10D9"/>
    <w:rsid w:val="006E14C0"/>
    <w:rsid w:val="006E1C62"/>
    <w:rsid w:val="006E1DB0"/>
    <w:rsid w:val="006E22AF"/>
    <w:rsid w:val="006E254A"/>
    <w:rsid w:val="006E2733"/>
    <w:rsid w:val="006E2C1A"/>
    <w:rsid w:val="006E339B"/>
    <w:rsid w:val="006E3844"/>
    <w:rsid w:val="006E3F9E"/>
    <w:rsid w:val="006E4106"/>
    <w:rsid w:val="006E4335"/>
    <w:rsid w:val="006E4DAB"/>
    <w:rsid w:val="006E4F97"/>
    <w:rsid w:val="006E4FDD"/>
    <w:rsid w:val="006E545B"/>
    <w:rsid w:val="006E60D6"/>
    <w:rsid w:val="006E69F0"/>
    <w:rsid w:val="006E6A68"/>
    <w:rsid w:val="006E6B2B"/>
    <w:rsid w:val="006E6ED9"/>
    <w:rsid w:val="006F0475"/>
    <w:rsid w:val="006F09B0"/>
    <w:rsid w:val="006F09BF"/>
    <w:rsid w:val="006F1421"/>
    <w:rsid w:val="006F15A4"/>
    <w:rsid w:val="006F1C25"/>
    <w:rsid w:val="006F2E62"/>
    <w:rsid w:val="006F3489"/>
    <w:rsid w:val="006F38E5"/>
    <w:rsid w:val="006F3ADF"/>
    <w:rsid w:val="006F46D7"/>
    <w:rsid w:val="006F488F"/>
    <w:rsid w:val="006F4AF2"/>
    <w:rsid w:val="006F528E"/>
    <w:rsid w:val="006F58BA"/>
    <w:rsid w:val="006F6083"/>
    <w:rsid w:val="006F69A9"/>
    <w:rsid w:val="006F77D8"/>
    <w:rsid w:val="00700B1A"/>
    <w:rsid w:val="00701204"/>
    <w:rsid w:val="007014D3"/>
    <w:rsid w:val="007021C4"/>
    <w:rsid w:val="007030F5"/>
    <w:rsid w:val="00703AF6"/>
    <w:rsid w:val="00703E47"/>
    <w:rsid w:val="00704395"/>
    <w:rsid w:val="00704471"/>
    <w:rsid w:val="00704CD8"/>
    <w:rsid w:val="00704D15"/>
    <w:rsid w:val="00705B29"/>
    <w:rsid w:val="00706126"/>
    <w:rsid w:val="007064DD"/>
    <w:rsid w:val="0070667F"/>
    <w:rsid w:val="007067EF"/>
    <w:rsid w:val="007071FB"/>
    <w:rsid w:val="00707994"/>
    <w:rsid w:val="007111C2"/>
    <w:rsid w:val="00711F5E"/>
    <w:rsid w:val="00712492"/>
    <w:rsid w:val="00712F46"/>
    <w:rsid w:val="007138BA"/>
    <w:rsid w:val="00714673"/>
    <w:rsid w:val="00714AA6"/>
    <w:rsid w:val="00714E4E"/>
    <w:rsid w:val="00715AE8"/>
    <w:rsid w:val="0071616E"/>
    <w:rsid w:val="00716655"/>
    <w:rsid w:val="00716699"/>
    <w:rsid w:val="007173C8"/>
    <w:rsid w:val="007178C8"/>
    <w:rsid w:val="007178D7"/>
    <w:rsid w:val="007203E7"/>
    <w:rsid w:val="00720531"/>
    <w:rsid w:val="00720E13"/>
    <w:rsid w:val="0072109D"/>
    <w:rsid w:val="00721158"/>
    <w:rsid w:val="0072147A"/>
    <w:rsid w:val="00721BDB"/>
    <w:rsid w:val="00721F76"/>
    <w:rsid w:val="0072231D"/>
    <w:rsid w:val="007232CE"/>
    <w:rsid w:val="007248CB"/>
    <w:rsid w:val="00724BB2"/>
    <w:rsid w:val="0072527B"/>
    <w:rsid w:val="007258ED"/>
    <w:rsid w:val="00726EA0"/>
    <w:rsid w:val="00726F8E"/>
    <w:rsid w:val="0072750F"/>
    <w:rsid w:val="00727AC0"/>
    <w:rsid w:val="00727DBA"/>
    <w:rsid w:val="007300B0"/>
    <w:rsid w:val="00730715"/>
    <w:rsid w:val="007312BA"/>
    <w:rsid w:val="00731762"/>
    <w:rsid w:val="007319A7"/>
    <w:rsid w:val="00732009"/>
    <w:rsid w:val="007327D1"/>
    <w:rsid w:val="00732CDC"/>
    <w:rsid w:val="00732ED7"/>
    <w:rsid w:val="007338F6"/>
    <w:rsid w:val="00733C69"/>
    <w:rsid w:val="00734379"/>
    <w:rsid w:val="00735292"/>
    <w:rsid w:val="00735B9B"/>
    <w:rsid w:val="007364F3"/>
    <w:rsid w:val="00736531"/>
    <w:rsid w:val="00737434"/>
    <w:rsid w:val="007374D8"/>
    <w:rsid w:val="0073774C"/>
    <w:rsid w:val="0073784D"/>
    <w:rsid w:val="00740140"/>
    <w:rsid w:val="00740142"/>
    <w:rsid w:val="007403F3"/>
    <w:rsid w:val="007404E6"/>
    <w:rsid w:val="00740C03"/>
    <w:rsid w:val="00741420"/>
    <w:rsid w:val="00741734"/>
    <w:rsid w:val="00741D94"/>
    <w:rsid w:val="00743CFA"/>
    <w:rsid w:val="00743D32"/>
    <w:rsid w:val="00743F68"/>
    <w:rsid w:val="00744F6E"/>
    <w:rsid w:val="007452D8"/>
    <w:rsid w:val="0074579B"/>
    <w:rsid w:val="007467E4"/>
    <w:rsid w:val="0074686F"/>
    <w:rsid w:val="00746B5E"/>
    <w:rsid w:val="00746EC6"/>
    <w:rsid w:val="00747318"/>
    <w:rsid w:val="00747E73"/>
    <w:rsid w:val="00750389"/>
    <w:rsid w:val="0075048B"/>
    <w:rsid w:val="007505E5"/>
    <w:rsid w:val="0075070D"/>
    <w:rsid w:val="00751635"/>
    <w:rsid w:val="0075169A"/>
    <w:rsid w:val="007534A2"/>
    <w:rsid w:val="00753A97"/>
    <w:rsid w:val="00754FD6"/>
    <w:rsid w:val="0075715A"/>
    <w:rsid w:val="0075754C"/>
    <w:rsid w:val="007606C1"/>
    <w:rsid w:val="007615FB"/>
    <w:rsid w:val="0076170F"/>
    <w:rsid w:val="00761D6E"/>
    <w:rsid w:val="0076256C"/>
    <w:rsid w:val="00762D66"/>
    <w:rsid w:val="0076310A"/>
    <w:rsid w:val="007635A2"/>
    <w:rsid w:val="00763AE4"/>
    <w:rsid w:val="00764244"/>
    <w:rsid w:val="0076533E"/>
    <w:rsid w:val="00765614"/>
    <w:rsid w:val="00765C3F"/>
    <w:rsid w:val="00765F7C"/>
    <w:rsid w:val="007663A4"/>
    <w:rsid w:val="007665DC"/>
    <w:rsid w:val="0076665A"/>
    <w:rsid w:val="00766B67"/>
    <w:rsid w:val="007700AF"/>
    <w:rsid w:val="007702D2"/>
    <w:rsid w:val="0077056C"/>
    <w:rsid w:val="00770AB7"/>
    <w:rsid w:val="00770EDA"/>
    <w:rsid w:val="007710ED"/>
    <w:rsid w:val="00771B05"/>
    <w:rsid w:val="00771C01"/>
    <w:rsid w:val="00771DDF"/>
    <w:rsid w:val="00772E8A"/>
    <w:rsid w:val="007741D4"/>
    <w:rsid w:val="00774341"/>
    <w:rsid w:val="007750E3"/>
    <w:rsid w:val="00775AE2"/>
    <w:rsid w:val="0077651F"/>
    <w:rsid w:val="0077666B"/>
    <w:rsid w:val="00776AD2"/>
    <w:rsid w:val="00777028"/>
    <w:rsid w:val="0077730F"/>
    <w:rsid w:val="00777922"/>
    <w:rsid w:val="00777A13"/>
    <w:rsid w:val="007800F9"/>
    <w:rsid w:val="00780317"/>
    <w:rsid w:val="00780F43"/>
    <w:rsid w:val="0078103D"/>
    <w:rsid w:val="0078157D"/>
    <w:rsid w:val="0078159B"/>
    <w:rsid w:val="00782856"/>
    <w:rsid w:val="00782C79"/>
    <w:rsid w:val="00782E20"/>
    <w:rsid w:val="00783ED4"/>
    <w:rsid w:val="00785610"/>
    <w:rsid w:val="007857C6"/>
    <w:rsid w:val="00785911"/>
    <w:rsid w:val="00785DDB"/>
    <w:rsid w:val="00786337"/>
    <w:rsid w:val="00786EB8"/>
    <w:rsid w:val="007873F3"/>
    <w:rsid w:val="00790983"/>
    <w:rsid w:val="0079187C"/>
    <w:rsid w:val="00791A3C"/>
    <w:rsid w:val="00791BEC"/>
    <w:rsid w:val="0079375C"/>
    <w:rsid w:val="007937B0"/>
    <w:rsid w:val="00793D8A"/>
    <w:rsid w:val="007942B0"/>
    <w:rsid w:val="007949AF"/>
    <w:rsid w:val="007952F1"/>
    <w:rsid w:val="00795BC3"/>
    <w:rsid w:val="0079645B"/>
    <w:rsid w:val="00796C37"/>
    <w:rsid w:val="0079778E"/>
    <w:rsid w:val="00797BB5"/>
    <w:rsid w:val="007A056D"/>
    <w:rsid w:val="007A09E6"/>
    <w:rsid w:val="007A1242"/>
    <w:rsid w:val="007A1AAD"/>
    <w:rsid w:val="007A1E88"/>
    <w:rsid w:val="007A1FAF"/>
    <w:rsid w:val="007A25DF"/>
    <w:rsid w:val="007A2CF1"/>
    <w:rsid w:val="007A2E97"/>
    <w:rsid w:val="007A3759"/>
    <w:rsid w:val="007A3778"/>
    <w:rsid w:val="007A3D4A"/>
    <w:rsid w:val="007A3D84"/>
    <w:rsid w:val="007A42B4"/>
    <w:rsid w:val="007A5333"/>
    <w:rsid w:val="007A6485"/>
    <w:rsid w:val="007A6EA4"/>
    <w:rsid w:val="007A6FCA"/>
    <w:rsid w:val="007A71A6"/>
    <w:rsid w:val="007A7F3C"/>
    <w:rsid w:val="007B0E6C"/>
    <w:rsid w:val="007B15B8"/>
    <w:rsid w:val="007B1F4A"/>
    <w:rsid w:val="007B232C"/>
    <w:rsid w:val="007B2E76"/>
    <w:rsid w:val="007B3183"/>
    <w:rsid w:val="007B38C7"/>
    <w:rsid w:val="007B4050"/>
    <w:rsid w:val="007B41E1"/>
    <w:rsid w:val="007B4566"/>
    <w:rsid w:val="007B4AE2"/>
    <w:rsid w:val="007B551B"/>
    <w:rsid w:val="007B59AC"/>
    <w:rsid w:val="007B6178"/>
    <w:rsid w:val="007B67A8"/>
    <w:rsid w:val="007B722C"/>
    <w:rsid w:val="007B7289"/>
    <w:rsid w:val="007B7BA8"/>
    <w:rsid w:val="007B7E2B"/>
    <w:rsid w:val="007C0A66"/>
    <w:rsid w:val="007C1173"/>
    <w:rsid w:val="007C2471"/>
    <w:rsid w:val="007C254D"/>
    <w:rsid w:val="007C2679"/>
    <w:rsid w:val="007C3B71"/>
    <w:rsid w:val="007C3D64"/>
    <w:rsid w:val="007C3DC0"/>
    <w:rsid w:val="007C42E4"/>
    <w:rsid w:val="007C4310"/>
    <w:rsid w:val="007C4540"/>
    <w:rsid w:val="007C49A2"/>
    <w:rsid w:val="007C4B1C"/>
    <w:rsid w:val="007C58FB"/>
    <w:rsid w:val="007C5B0A"/>
    <w:rsid w:val="007C65B3"/>
    <w:rsid w:val="007C69B2"/>
    <w:rsid w:val="007D00C5"/>
    <w:rsid w:val="007D07F2"/>
    <w:rsid w:val="007D0CB2"/>
    <w:rsid w:val="007D0EF7"/>
    <w:rsid w:val="007D1986"/>
    <w:rsid w:val="007D19C3"/>
    <w:rsid w:val="007D209F"/>
    <w:rsid w:val="007D3530"/>
    <w:rsid w:val="007D3A52"/>
    <w:rsid w:val="007D429C"/>
    <w:rsid w:val="007D4655"/>
    <w:rsid w:val="007D4863"/>
    <w:rsid w:val="007D4D91"/>
    <w:rsid w:val="007D50D8"/>
    <w:rsid w:val="007D534F"/>
    <w:rsid w:val="007D5507"/>
    <w:rsid w:val="007D572F"/>
    <w:rsid w:val="007D6EDE"/>
    <w:rsid w:val="007D7251"/>
    <w:rsid w:val="007D76FF"/>
    <w:rsid w:val="007D7D55"/>
    <w:rsid w:val="007E09BE"/>
    <w:rsid w:val="007E19A0"/>
    <w:rsid w:val="007E1E57"/>
    <w:rsid w:val="007E2C50"/>
    <w:rsid w:val="007E348B"/>
    <w:rsid w:val="007E4534"/>
    <w:rsid w:val="007E478C"/>
    <w:rsid w:val="007E493B"/>
    <w:rsid w:val="007E53F2"/>
    <w:rsid w:val="007E5DC0"/>
    <w:rsid w:val="007E75F3"/>
    <w:rsid w:val="007E7D4A"/>
    <w:rsid w:val="007E7EDE"/>
    <w:rsid w:val="007F0049"/>
    <w:rsid w:val="007F0E37"/>
    <w:rsid w:val="007F0F67"/>
    <w:rsid w:val="007F1CA4"/>
    <w:rsid w:val="007F200C"/>
    <w:rsid w:val="007F2761"/>
    <w:rsid w:val="007F294E"/>
    <w:rsid w:val="007F357D"/>
    <w:rsid w:val="007F3C6F"/>
    <w:rsid w:val="007F46D6"/>
    <w:rsid w:val="007F5BB7"/>
    <w:rsid w:val="007F5E17"/>
    <w:rsid w:val="007F6325"/>
    <w:rsid w:val="007F70F2"/>
    <w:rsid w:val="007F71EF"/>
    <w:rsid w:val="007F7828"/>
    <w:rsid w:val="007F7893"/>
    <w:rsid w:val="00801389"/>
    <w:rsid w:val="008014ED"/>
    <w:rsid w:val="00801F45"/>
    <w:rsid w:val="00802344"/>
    <w:rsid w:val="008028A5"/>
    <w:rsid w:val="00802CBF"/>
    <w:rsid w:val="00803591"/>
    <w:rsid w:val="008036AD"/>
    <w:rsid w:val="00803C58"/>
    <w:rsid w:val="00803DD4"/>
    <w:rsid w:val="0080478E"/>
    <w:rsid w:val="00804A66"/>
    <w:rsid w:val="00804D69"/>
    <w:rsid w:val="00804DCB"/>
    <w:rsid w:val="0081016B"/>
    <w:rsid w:val="00810483"/>
    <w:rsid w:val="008105C4"/>
    <w:rsid w:val="00811ACA"/>
    <w:rsid w:val="00811E96"/>
    <w:rsid w:val="00812213"/>
    <w:rsid w:val="008130E1"/>
    <w:rsid w:val="008139FD"/>
    <w:rsid w:val="00815050"/>
    <w:rsid w:val="008150AF"/>
    <w:rsid w:val="00815A40"/>
    <w:rsid w:val="00816638"/>
    <w:rsid w:val="00817982"/>
    <w:rsid w:val="00817A43"/>
    <w:rsid w:val="00817FCD"/>
    <w:rsid w:val="00820517"/>
    <w:rsid w:val="008215C7"/>
    <w:rsid w:val="008216EA"/>
    <w:rsid w:val="00821C8B"/>
    <w:rsid w:val="008225C9"/>
    <w:rsid w:val="00822E93"/>
    <w:rsid w:val="00823082"/>
    <w:rsid w:val="008230F0"/>
    <w:rsid w:val="00823EFF"/>
    <w:rsid w:val="00824C89"/>
    <w:rsid w:val="00824C93"/>
    <w:rsid w:val="00824E8C"/>
    <w:rsid w:val="0082540A"/>
    <w:rsid w:val="00825625"/>
    <w:rsid w:val="008259EC"/>
    <w:rsid w:val="008262BE"/>
    <w:rsid w:val="00826620"/>
    <w:rsid w:val="00826713"/>
    <w:rsid w:val="008274AE"/>
    <w:rsid w:val="00830186"/>
    <w:rsid w:val="00830B97"/>
    <w:rsid w:val="00830C9C"/>
    <w:rsid w:val="00831EB8"/>
    <w:rsid w:val="0083385F"/>
    <w:rsid w:val="008339B2"/>
    <w:rsid w:val="00833CF1"/>
    <w:rsid w:val="00833D4C"/>
    <w:rsid w:val="00833DED"/>
    <w:rsid w:val="0083513E"/>
    <w:rsid w:val="00835396"/>
    <w:rsid w:val="008353E1"/>
    <w:rsid w:val="008357B3"/>
    <w:rsid w:val="0083590C"/>
    <w:rsid w:val="00835B0B"/>
    <w:rsid w:val="00836674"/>
    <w:rsid w:val="00836827"/>
    <w:rsid w:val="008374D6"/>
    <w:rsid w:val="008374E9"/>
    <w:rsid w:val="0083793D"/>
    <w:rsid w:val="0084047F"/>
    <w:rsid w:val="008407E9"/>
    <w:rsid w:val="00840B15"/>
    <w:rsid w:val="00841565"/>
    <w:rsid w:val="008422BC"/>
    <w:rsid w:val="00842778"/>
    <w:rsid w:val="008427DD"/>
    <w:rsid w:val="00842EA0"/>
    <w:rsid w:val="008432FC"/>
    <w:rsid w:val="0084330D"/>
    <w:rsid w:val="008441C1"/>
    <w:rsid w:val="008449EC"/>
    <w:rsid w:val="00845173"/>
    <w:rsid w:val="008455BF"/>
    <w:rsid w:val="00845743"/>
    <w:rsid w:val="00846662"/>
    <w:rsid w:val="00850074"/>
    <w:rsid w:val="0085033C"/>
    <w:rsid w:val="008505DD"/>
    <w:rsid w:val="00850644"/>
    <w:rsid w:val="00850B23"/>
    <w:rsid w:val="00850E7D"/>
    <w:rsid w:val="008519F2"/>
    <w:rsid w:val="008521DD"/>
    <w:rsid w:val="00852587"/>
    <w:rsid w:val="008531CB"/>
    <w:rsid w:val="0085321A"/>
    <w:rsid w:val="00853889"/>
    <w:rsid w:val="00853A29"/>
    <w:rsid w:val="00853CB2"/>
    <w:rsid w:val="008547BC"/>
    <w:rsid w:val="00854BCF"/>
    <w:rsid w:val="008555C9"/>
    <w:rsid w:val="008558DD"/>
    <w:rsid w:val="00855A3E"/>
    <w:rsid w:val="00855D72"/>
    <w:rsid w:val="00856306"/>
    <w:rsid w:val="0085654E"/>
    <w:rsid w:val="00856B00"/>
    <w:rsid w:val="008571B0"/>
    <w:rsid w:val="008575C5"/>
    <w:rsid w:val="008577F2"/>
    <w:rsid w:val="00857CC3"/>
    <w:rsid w:val="0086045F"/>
    <w:rsid w:val="0086062E"/>
    <w:rsid w:val="008609BB"/>
    <w:rsid w:val="00860CC7"/>
    <w:rsid w:val="00861B12"/>
    <w:rsid w:val="0086247C"/>
    <w:rsid w:val="00862D2D"/>
    <w:rsid w:val="00863CCA"/>
    <w:rsid w:val="008643B3"/>
    <w:rsid w:val="008645C9"/>
    <w:rsid w:val="008646C5"/>
    <w:rsid w:val="008646F5"/>
    <w:rsid w:val="00864A5B"/>
    <w:rsid w:val="00865CD2"/>
    <w:rsid w:val="00865DA3"/>
    <w:rsid w:val="00865DE7"/>
    <w:rsid w:val="008664DE"/>
    <w:rsid w:val="00866999"/>
    <w:rsid w:val="00866C91"/>
    <w:rsid w:val="00867133"/>
    <w:rsid w:val="008671E9"/>
    <w:rsid w:val="00867781"/>
    <w:rsid w:val="00867A86"/>
    <w:rsid w:val="00867B13"/>
    <w:rsid w:val="00867BAA"/>
    <w:rsid w:val="00867D88"/>
    <w:rsid w:val="00867F03"/>
    <w:rsid w:val="00867F62"/>
    <w:rsid w:val="0087043E"/>
    <w:rsid w:val="00870DE3"/>
    <w:rsid w:val="008714ED"/>
    <w:rsid w:val="00872131"/>
    <w:rsid w:val="0087237E"/>
    <w:rsid w:val="00872488"/>
    <w:rsid w:val="0087277C"/>
    <w:rsid w:val="00872A7C"/>
    <w:rsid w:val="00872BF7"/>
    <w:rsid w:val="00872D21"/>
    <w:rsid w:val="00872FC5"/>
    <w:rsid w:val="008739F9"/>
    <w:rsid w:val="0087456C"/>
    <w:rsid w:val="008746EC"/>
    <w:rsid w:val="008749C8"/>
    <w:rsid w:val="008750F0"/>
    <w:rsid w:val="00875713"/>
    <w:rsid w:val="00875889"/>
    <w:rsid w:val="00876E6A"/>
    <w:rsid w:val="00877027"/>
    <w:rsid w:val="008771F7"/>
    <w:rsid w:val="00877EB3"/>
    <w:rsid w:val="00877F01"/>
    <w:rsid w:val="008807C8"/>
    <w:rsid w:val="008807EF"/>
    <w:rsid w:val="00880D52"/>
    <w:rsid w:val="008810B2"/>
    <w:rsid w:val="008811CE"/>
    <w:rsid w:val="00881422"/>
    <w:rsid w:val="00881EAD"/>
    <w:rsid w:val="008827C7"/>
    <w:rsid w:val="008828A6"/>
    <w:rsid w:val="008828CD"/>
    <w:rsid w:val="008846C2"/>
    <w:rsid w:val="008850A1"/>
    <w:rsid w:val="008852E4"/>
    <w:rsid w:val="008862BC"/>
    <w:rsid w:val="008864BD"/>
    <w:rsid w:val="00886A9C"/>
    <w:rsid w:val="00887028"/>
    <w:rsid w:val="008900C0"/>
    <w:rsid w:val="00890130"/>
    <w:rsid w:val="008905A6"/>
    <w:rsid w:val="00890FBC"/>
    <w:rsid w:val="008910E6"/>
    <w:rsid w:val="008912CF"/>
    <w:rsid w:val="00891805"/>
    <w:rsid w:val="00891DB2"/>
    <w:rsid w:val="00892765"/>
    <w:rsid w:val="00892A59"/>
    <w:rsid w:val="00893F33"/>
    <w:rsid w:val="00893F94"/>
    <w:rsid w:val="00894193"/>
    <w:rsid w:val="008948C8"/>
    <w:rsid w:val="00894F99"/>
    <w:rsid w:val="00895501"/>
    <w:rsid w:val="0089551D"/>
    <w:rsid w:val="008959E9"/>
    <w:rsid w:val="00895D68"/>
    <w:rsid w:val="008961CE"/>
    <w:rsid w:val="008962CE"/>
    <w:rsid w:val="008966D9"/>
    <w:rsid w:val="00897183"/>
    <w:rsid w:val="00897761"/>
    <w:rsid w:val="00897E2B"/>
    <w:rsid w:val="00897FA2"/>
    <w:rsid w:val="008A07F9"/>
    <w:rsid w:val="008A0FE5"/>
    <w:rsid w:val="008A13E0"/>
    <w:rsid w:val="008A1689"/>
    <w:rsid w:val="008A178D"/>
    <w:rsid w:val="008A1B53"/>
    <w:rsid w:val="008A1D5C"/>
    <w:rsid w:val="008A1FEA"/>
    <w:rsid w:val="008A23DE"/>
    <w:rsid w:val="008A28F7"/>
    <w:rsid w:val="008A49E3"/>
    <w:rsid w:val="008A4A02"/>
    <w:rsid w:val="008A4C79"/>
    <w:rsid w:val="008A4DF8"/>
    <w:rsid w:val="008A6649"/>
    <w:rsid w:val="008A6AB5"/>
    <w:rsid w:val="008A7285"/>
    <w:rsid w:val="008A7548"/>
    <w:rsid w:val="008A77EE"/>
    <w:rsid w:val="008B004C"/>
    <w:rsid w:val="008B07ED"/>
    <w:rsid w:val="008B0A22"/>
    <w:rsid w:val="008B1CD6"/>
    <w:rsid w:val="008B1F5D"/>
    <w:rsid w:val="008B3658"/>
    <w:rsid w:val="008B48F1"/>
    <w:rsid w:val="008B4B31"/>
    <w:rsid w:val="008B5123"/>
    <w:rsid w:val="008B5F37"/>
    <w:rsid w:val="008B6ABA"/>
    <w:rsid w:val="008B6EAB"/>
    <w:rsid w:val="008B7088"/>
    <w:rsid w:val="008B7096"/>
    <w:rsid w:val="008B750A"/>
    <w:rsid w:val="008B76A2"/>
    <w:rsid w:val="008C056E"/>
    <w:rsid w:val="008C0D15"/>
    <w:rsid w:val="008C0D91"/>
    <w:rsid w:val="008C1B84"/>
    <w:rsid w:val="008C1C93"/>
    <w:rsid w:val="008C2034"/>
    <w:rsid w:val="008C39E8"/>
    <w:rsid w:val="008C3A4F"/>
    <w:rsid w:val="008C406E"/>
    <w:rsid w:val="008C4620"/>
    <w:rsid w:val="008C4735"/>
    <w:rsid w:val="008C5F8D"/>
    <w:rsid w:val="008C60B9"/>
    <w:rsid w:val="008C6BA1"/>
    <w:rsid w:val="008C6E3C"/>
    <w:rsid w:val="008C72D2"/>
    <w:rsid w:val="008C783E"/>
    <w:rsid w:val="008D18EC"/>
    <w:rsid w:val="008D1F37"/>
    <w:rsid w:val="008D265B"/>
    <w:rsid w:val="008D2AF3"/>
    <w:rsid w:val="008D2C75"/>
    <w:rsid w:val="008D2EC1"/>
    <w:rsid w:val="008D3A60"/>
    <w:rsid w:val="008D3C2F"/>
    <w:rsid w:val="008D420D"/>
    <w:rsid w:val="008D42FD"/>
    <w:rsid w:val="008D46FB"/>
    <w:rsid w:val="008D481D"/>
    <w:rsid w:val="008D4A01"/>
    <w:rsid w:val="008D57F5"/>
    <w:rsid w:val="008D588B"/>
    <w:rsid w:val="008D5A87"/>
    <w:rsid w:val="008D72FB"/>
    <w:rsid w:val="008D743C"/>
    <w:rsid w:val="008E0677"/>
    <w:rsid w:val="008E0809"/>
    <w:rsid w:val="008E175F"/>
    <w:rsid w:val="008E1E85"/>
    <w:rsid w:val="008E33E3"/>
    <w:rsid w:val="008E345B"/>
    <w:rsid w:val="008E3860"/>
    <w:rsid w:val="008E5522"/>
    <w:rsid w:val="008E595F"/>
    <w:rsid w:val="008E5B34"/>
    <w:rsid w:val="008E6424"/>
    <w:rsid w:val="008E6801"/>
    <w:rsid w:val="008E6DF1"/>
    <w:rsid w:val="008E7350"/>
    <w:rsid w:val="008E7352"/>
    <w:rsid w:val="008E7D32"/>
    <w:rsid w:val="008F0065"/>
    <w:rsid w:val="008F02FF"/>
    <w:rsid w:val="008F0899"/>
    <w:rsid w:val="008F0AF9"/>
    <w:rsid w:val="008F121B"/>
    <w:rsid w:val="008F14EF"/>
    <w:rsid w:val="008F1950"/>
    <w:rsid w:val="008F2332"/>
    <w:rsid w:val="008F24AD"/>
    <w:rsid w:val="008F2503"/>
    <w:rsid w:val="008F2512"/>
    <w:rsid w:val="008F27E8"/>
    <w:rsid w:val="008F2B0E"/>
    <w:rsid w:val="008F34C9"/>
    <w:rsid w:val="008F3A92"/>
    <w:rsid w:val="008F3FF4"/>
    <w:rsid w:val="008F41E6"/>
    <w:rsid w:val="008F48DE"/>
    <w:rsid w:val="008F51C1"/>
    <w:rsid w:val="008F5BEC"/>
    <w:rsid w:val="008F5EB9"/>
    <w:rsid w:val="008F626E"/>
    <w:rsid w:val="008F6CD4"/>
    <w:rsid w:val="008F6DD5"/>
    <w:rsid w:val="008F6FF5"/>
    <w:rsid w:val="008F7541"/>
    <w:rsid w:val="00900361"/>
    <w:rsid w:val="00900977"/>
    <w:rsid w:val="00900FA9"/>
    <w:rsid w:val="0090118E"/>
    <w:rsid w:val="0090202A"/>
    <w:rsid w:val="00902810"/>
    <w:rsid w:val="00902AB2"/>
    <w:rsid w:val="009038C7"/>
    <w:rsid w:val="0090452D"/>
    <w:rsid w:val="00904BD6"/>
    <w:rsid w:val="0090520F"/>
    <w:rsid w:val="00905EF6"/>
    <w:rsid w:val="0090666E"/>
    <w:rsid w:val="00906C7A"/>
    <w:rsid w:val="009076FD"/>
    <w:rsid w:val="00907997"/>
    <w:rsid w:val="009107A2"/>
    <w:rsid w:val="009108C1"/>
    <w:rsid w:val="00911077"/>
    <w:rsid w:val="00911A55"/>
    <w:rsid w:val="0091211C"/>
    <w:rsid w:val="00912D23"/>
    <w:rsid w:val="009137D6"/>
    <w:rsid w:val="00914142"/>
    <w:rsid w:val="009148C1"/>
    <w:rsid w:val="0091499A"/>
    <w:rsid w:val="00914CF2"/>
    <w:rsid w:val="009158C7"/>
    <w:rsid w:val="00915BA3"/>
    <w:rsid w:val="00915F3B"/>
    <w:rsid w:val="00916378"/>
    <w:rsid w:val="00916477"/>
    <w:rsid w:val="00916617"/>
    <w:rsid w:val="009168AB"/>
    <w:rsid w:val="00920EE3"/>
    <w:rsid w:val="009213CE"/>
    <w:rsid w:val="00921BDD"/>
    <w:rsid w:val="00921FBC"/>
    <w:rsid w:val="00922074"/>
    <w:rsid w:val="009232AC"/>
    <w:rsid w:val="009237AF"/>
    <w:rsid w:val="00923E69"/>
    <w:rsid w:val="00925FB7"/>
    <w:rsid w:val="0092667E"/>
    <w:rsid w:val="00926EF0"/>
    <w:rsid w:val="0092709F"/>
    <w:rsid w:val="00927171"/>
    <w:rsid w:val="009279E2"/>
    <w:rsid w:val="009303E9"/>
    <w:rsid w:val="00930CE0"/>
    <w:rsid w:val="00931C38"/>
    <w:rsid w:val="00931D33"/>
    <w:rsid w:val="00932364"/>
    <w:rsid w:val="00933017"/>
    <w:rsid w:val="009332F1"/>
    <w:rsid w:val="009334EF"/>
    <w:rsid w:val="00933861"/>
    <w:rsid w:val="00933E35"/>
    <w:rsid w:val="00935043"/>
    <w:rsid w:val="00935363"/>
    <w:rsid w:val="00935AF5"/>
    <w:rsid w:val="00935E51"/>
    <w:rsid w:val="00936D4E"/>
    <w:rsid w:val="00937369"/>
    <w:rsid w:val="00937564"/>
    <w:rsid w:val="009379F5"/>
    <w:rsid w:val="00937EA1"/>
    <w:rsid w:val="00937F18"/>
    <w:rsid w:val="009409D9"/>
    <w:rsid w:val="00940FAB"/>
    <w:rsid w:val="0094218F"/>
    <w:rsid w:val="009422F2"/>
    <w:rsid w:val="0094252A"/>
    <w:rsid w:val="00942692"/>
    <w:rsid w:val="00942C3B"/>
    <w:rsid w:val="00943193"/>
    <w:rsid w:val="00943A00"/>
    <w:rsid w:val="00943A6D"/>
    <w:rsid w:val="0094449D"/>
    <w:rsid w:val="00944562"/>
    <w:rsid w:val="0094459F"/>
    <w:rsid w:val="00944625"/>
    <w:rsid w:val="0094496A"/>
    <w:rsid w:val="00944CCF"/>
    <w:rsid w:val="0094524F"/>
    <w:rsid w:val="00945AD5"/>
    <w:rsid w:val="00945AFE"/>
    <w:rsid w:val="00945F6B"/>
    <w:rsid w:val="00946239"/>
    <w:rsid w:val="00946CAE"/>
    <w:rsid w:val="009507AF"/>
    <w:rsid w:val="00950805"/>
    <w:rsid w:val="00950D4B"/>
    <w:rsid w:val="00951B6B"/>
    <w:rsid w:val="00951D27"/>
    <w:rsid w:val="009520E7"/>
    <w:rsid w:val="00952199"/>
    <w:rsid w:val="00952885"/>
    <w:rsid w:val="009536A6"/>
    <w:rsid w:val="00954442"/>
    <w:rsid w:val="00954B6F"/>
    <w:rsid w:val="00954C46"/>
    <w:rsid w:val="00954F3B"/>
    <w:rsid w:val="00955F9E"/>
    <w:rsid w:val="009563F6"/>
    <w:rsid w:val="00956776"/>
    <w:rsid w:val="00956A60"/>
    <w:rsid w:val="00957C8F"/>
    <w:rsid w:val="009613F5"/>
    <w:rsid w:val="009614E6"/>
    <w:rsid w:val="00961C18"/>
    <w:rsid w:val="00962552"/>
    <w:rsid w:val="009625D2"/>
    <w:rsid w:val="00962AB4"/>
    <w:rsid w:val="00962CF1"/>
    <w:rsid w:val="00962E65"/>
    <w:rsid w:val="00963877"/>
    <w:rsid w:val="00963CBE"/>
    <w:rsid w:val="00964339"/>
    <w:rsid w:val="00964DAF"/>
    <w:rsid w:val="0096552B"/>
    <w:rsid w:val="009657D5"/>
    <w:rsid w:val="00965978"/>
    <w:rsid w:val="0096604C"/>
    <w:rsid w:val="0096626E"/>
    <w:rsid w:val="009664AD"/>
    <w:rsid w:val="009669DE"/>
    <w:rsid w:val="0096794E"/>
    <w:rsid w:val="009704FB"/>
    <w:rsid w:val="00970C7D"/>
    <w:rsid w:val="0097254E"/>
    <w:rsid w:val="00972683"/>
    <w:rsid w:val="0097280E"/>
    <w:rsid w:val="00972955"/>
    <w:rsid w:val="0097296F"/>
    <w:rsid w:val="00972C08"/>
    <w:rsid w:val="00973EC1"/>
    <w:rsid w:val="00974027"/>
    <w:rsid w:val="00975815"/>
    <w:rsid w:val="00975832"/>
    <w:rsid w:val="00975ACC"/>
    <w:rsid w:val="0098064B"/>
    <w:rsid w:val="00980B0B"/>
    <w:rsid w:val="00980D5B"/>
    <w:rsid w:val="00980F37"/>
    <w:rsid w:val="00981F5E"/>
    <w:rsid w:val="00981FB0"/>
    <w:rsid w:val="00982499"/>
    <w:rsid w:val="00982C6D"/>
    <w:rsid w:val="009831BC"/>
    <w:rsid w:val="0098354D"/>
    <w:rsid w:val="0098384C"/>
    <w:rsid w:val="0098460E"/>
    <w:rsid w:val="00984D87"/>
    <w:rsid w:val="00984F87"/>
    <w:rsid w:val="009854D1"/>
    <w:rsid w:val="0098574B"/>
    <w:rsid w:val="009857FA"/>
    <w:rsid w:val="0098641D"/>
    <w:rsid w:val="00986435"/>
    <w:rsid w:val="00986831"/>
    <w:rsid w:val="00986996"/>
    <w:rsid w:val="00986C36"/>
    <w:rsid w:val="00986EEB"/>
    <w:rsid w:val="00987117"/>
    <w:rsid w:val="00987EAE"/>
    <w:rsid w:val="00990941"/>
    <w:rsid w:val="0099130A"/>
    <w:rsid w:val="00991891"/>
    <w:rsid w:val="00992432"/>
    <w:rsid w:val="00992887"/>
    <w:rsid w:val="00993116"/>
    <w:rsid w:val="00993541"/>
    <w:rsid w:val="00994384"/>
    <w:rsid w:val="009947E6"/>
    <w:rsid w:val="00994835"/>
    <w:rsid w:val="00994AE1"/>
    <w:rsid w:val="00995777"/>
    <w:rsid w:val="009957FA"/>
    <w:rsid w:val="0099580E"/>
    <w:rsid w:val="00995D12"/>
    <w:rsid w:val="00996144"/>
    <w:rsid w:val="0099642C"/>
    <w:rsid w:val="0099666E"/>
    <w:rsid w:val="0099673D"/>
    <w:rsid w:val="00996BA0"/>
    <w:rsid w:val="0099732A"/>
    <w:rsid w:val="0099789B"/>
    <w:rsid w:val="009A0B45"/>
    <w:rsid w:val="009A0DCA"/>
    <w:rsid w:val="009A0F3E"/>
    <w:rsid w:val="009A134F"/>
    <w:rsid w:val="009A16FD"/>
    <w:rsid w:val="009A1E2F"/>
    <w:rsid w:val="009A1FE7"/>
    <w:rsid w:val="009A25F9"/>
    <w:rsid w:val="009A29EC"/>
    <w:rsid w:val="009A3271"/>
    <w:rsid w:val="009A3342"/>
    <w:rsid w:val="009A359B"/>
    <w:rsid w:val="009A3632"/>
    <w:rsid w:val="009A41F6"/>
    <w:rsid w:val="009A4724"/>
    <w:rsid w:val="009A4E97"/>
    <w:rsid w:val="009A52DB"/>
    <w:rsid w:val="009A581D"/>
    <w:rsid w:val="009A5A16"/>
    <w:rsid w:val="009A65C8"/>
    <w:rsid w:val="009B03AE"/>
    <w:rsid w:val="009B052F"/>
    <w:rsid w:val="009B2321"/>
    <w:rsid w:val="009B2836"/>
    <w:rsid w:val="009B2F98"/>
    <w:rsid w:val="009B345C"/>
    <w:rsid w:val="009B3CDB"/>
    <w:rsid w:val="009B4B67"/>
    <w:rsid w:val="009B50BB"/>
    <w:rsid w:val="009B546A"/>
    <w:rsid w:val="009B5487"/>
    <w:rsid w:val="009B6316"/>
    <w:rsid w:val="009B6BE2"/>
    <w:rsid w:val="009B6D19"/>
    <w:rsid w:val="009B788D"/>
    <w:rsid w:val="009C1707"/>
    <w:rsid w:val="009C1C6C"/>
    <w:rsid w:val="009C3000"/>
    <w:rsid w:val="009C3AC7"/>
    <w:rsid w:val="009C3B62"/>
    <w:rsid w:val="009C3BBA"/>
    <w:rsid w:val="009C3CB2"/>
    <w:rsid w:val="009C3EFD"/>
    <w:rsid w:val="009C3FA5"/>
    <w:rsid w:val="009C40A3"/>
    <w:rsid w:val="009C490A"/>
    <w:rsid w:val="009C50C4"/>
    <w:rsid w:val="009C584C"/>
    <w:rsid w:val="009C5EE7"/>
    <w:rsid w:val="009C61BC"/>
    <w:rsid w:val="009C6221"/>
    <w:rsid w:val="009C6979"/>
    <w:rsid w:val="009C6C10"/>
    <w:rsid w:val="009C6F4D"/>
    <w:rsid w:val="009C769C"/>
    <w:rsid w:val="009C79F8"/>
    <w:rsid w:val="009C7B4B"/>
    <w:rsid w:val="009D050A"/>
    <w:rsid w:val="009D083C"/>
    <w:rsid w:val="009D0970"/>
    <w:rsid w:val="009D14C4"/>
    <w:rsid w:val="009D1B8B"/>
    <w:rsid w:val="009D1EB9"/>
    <w:rsid w:val="009D297E"/>
    <w:rsid w:val="009D2A15"/>
    <w:rsid w:val="009D2D81"/>
    <w:rsid w:val="009D2FDC"/>
    <w:rsid w:val="009D3053"/>
    <w:rsid w:val="009D4A5E"/>
    <w:rsid w:val="009D6BC8"/>
    <w:rsid w:val="009D6F09"/>
    <w:rsid w:val="009D70F7"/>
    <w:rsid w:val="009D72AE"/>
    <w:rsid w:val="009D7B3C"/>
    <w:rsid w:val="009E0170"/>
    <w:rsid w:val="009E0370"/>
    <w:rsid w:val="009E103F"/>
    <w:rsid w:val="009E216C"/>
    <w:rsid w:val="009E2616"/>
    <w:rsid w:val="009E2726"/>
    <w:rsid w:val="009E273B"/>
    <w:rsid w:val="009E303C"/>
    <w:rsid w:val="009E3367"/>
    <w:rsid w:val="009E35F2"/>
    <w:rsid w:val="009E3CAE"/>
    <w:rsid w:val="009E40D3"/>
    <w:rsid w:val="009E496D"/>
    <w:rsid w:val="009E49D8"/>
    <w:rsid w:val="009E51C6"/>
    <w:rsid w:val="009E5640"/>
    <w:rsid w:val="009E59FF"/>
    <w:rsid w:val="009E5BBC"/>
    <w:rsid w:val="009E5E16"/>
    <w:rsid w:val="009E6275"/>
    <w:rsid w:val="009E718D"/>
    <w:rsid w:val="009F008A"/>
    <w:rsid w:val="009F1D76"/>
    <w:rsid w:val="009F248E"/>
    <w:rsid w:val="009F263B"/>
    <w:rsid w:val="009F2FC8"/>
    <w:rsid w:val="009F3590"/>
    <w:rsid w:val="009F3AB1"/>
    <w:rsid w:val="009F4238"/>
    <w:rsid w:val="009F4683"/>
    <w:rsid w:val="009F4843"/>
    <w:rsid w:val="009F4BE3"/>
    <w:rsid w:val="009F5946"/>
    <w:rsid w:val="009F5A41"/>
    <w:rsid w:val="009F64D0"/>
    <w:rsid w:val="009F700C"/>
    <w:rsid w:val="009F73F8"/>
    <w:rsid w:val="009F7990"/>
    <w:rsid w:val="009F7EF2"/>
    <w:rsid w:val="00A001CD"/>
    <w:rsid w:val="00A00614"/>
    <w:rsid w:val="00A0070B"/>
    <w:rsid w:val="00A00DF4"/>
    <w:rsid w:val="00A01198"/>
    <w:rsid w:val="00A01665"/>
    <w:rsid w:val="00A01792"/>
    <w:rsid w:val="00A019C4"/>
    <w:rsid w:val="00A02030"/>
    <w:rsid w:val="00A03504"/>
    <w:rsid w:val="00A03672"/>
    <w:rsid w:val="00A03858"/>
    <w:rsid w:val="00A049C2"/>
    <w:rsid w:val="00A04A1E"/>
    <w:rsid w:val="00A05099"/>
    <w:rsid w:val="00A055BF"/>
    <w:rsid w:val="00A05940"/>
    <w:rsid w:val="00A05D15"/>
    <w:rsid w:val="00A06A76"/>
    <w:rsid w:val="00A07B9C"/>
    <w:rsid w:val="00A07DD3"/>
    <w:rsid w:val="00A101A1"/>
    <w:rsid w:val="00A106BB"/>
    <w:rsid w:val="00A10945"/>
    <w:rsid w:val="00A10F6E"/>
    <w:rsid w:val="00A1187A"/>
    <w:rsid w:val="00A128EC"/>
    <w:rsid w:val="00A12D18"/>
    <w:rsid w:val="00A12FBB"/>
    <w:rsid w:val="00A133E4"/>
    <w:rsid w:val="00A1405D"/>
    <w:rsid w:val="00A140F4"/>
    <w:rsid w:val="00A14269"/>
    <w:rsid w:val="00A14ADC"/>
    <w:rsid w:val="00A15037"/>
    <w:rsid w:val="00A16179"/>
    <w:rsid w:val="00A161C1"/>
    <w:rsid w:val="00A16C89"/>
    <w:rsid w:val="00A16D63"/>
    <w:rsid w:val="00A17673"/>
    <w:rsid w:val="00A17965"/>
    <w:rsid w:val="00A17E9E"/>
    <w:rsid w:val="00A2089E"/>
    <w:rsid w:val="00A20CA7"/>
    <w:rsid w:val="00A2113F"/>
    <w:rsid w:val="00A2157C"/>
    <w:rsid w:val="00A23577"/>
    <w:rsid w:val="00A23A85"/>
    <w:rsid w:val="00A24542"/>
    <w:rsid w:val="00A24D0E"/>
    <w:rsid w:val="00A24DE4"/>
    <w:rsid w:val="00A250EC"/>
    <w:rsid w:val="00A25293"/>
    <w:rsid w:val="00A2564C"/>
    <w:rsid w:val="00A25898"/>
    <w:rsid w:val="00A25A55"/>
    <w:rsid w:val="00A25B3D"/>
    <w:rsid w:val="00A26877"/>
    <w:rsid w:val="00A26DC6"/>
    <w:rsid w:val="00A3021E"/>
    <w:rsid w:val="00A30A5F"/>
    <w:rsid w:val="00A30DD8"/>
    <w:rsid w:val="00A312B3"/>
    <w:rsid w:val="00A31435"/>
    <w:rsid w:val="00A31866"/>
    <w:rsid w:val="00A31F06"/>
    <w:rsid w:val="00A32926"/>
    <w:rsid w:val="00A3362C"/>
    <w:rsid w:val="00A33644"/>
    <w:rsid w:val="00A33AF7"/>
    <w:rsid w:val="00A342CB"/>
    <w:rsid w:val="00A34770"/>
    <w:rsid w:val="00A349B9"/>
    <w:rsid w:val="00A34AC9"/>
    <w:rsid w:val="00A36AD6"/>
    <w:rsid w:val="00A36B13"/>
    <w:rsid w:val="00A36FCF"/>
    <w:rsid w:val="00A37204"/>
    <w:rsid w:val="00A37B42"/>
    <w:rsid w:val="00A40346"/>
    <w:rsid w:val="00A40DCC"/>
    <w:rsid w:val="00A41700"/>
    <w:rsid w:val="00A4214B"/>
    <w:rsid w:val="00A42234"/>
    <w:rsid w:val="00A4300B"/>
    <w:rsid w:val="00A43230"/>
    <w:rsid w:val="00A440C1"/>
    <w:rsid w:val="00A44609"/>
    <w:rsid w:val="00A450DE"/>
    <w:rsid w:val="00A460A8"/>
    <w:rsid w:val="00A46E72"/>
    <w:rsid w:val="00A5066A"/>
    <w:rsid w:val="00A5226B"/>
    <w:rsid w:val="00A5353E"/>
    <w:rsid w:val="00A53B54"/>
    <w:rsid w:val="00A53EBE"/>
    <w:rsid w:val="00A53EFF"/>
    <w:rsid w:val="00A5651E"/>
    <w:rsid w:val="00A56C99"/>
    <w:rsid w:val="00A57595"/>
    <w:rsid w:val="00A57741"/>
    <w:rsid w:val="00A57AD8"/>
    <w:rsid w:val="00A57B01"/>
    <w:rsid w:val="00A60242"/>
    <w:rsid w:val="00A604D6"/>
    <w:rsid w:val="00A60689"/>
    <w:rsid w:val="00A607F0"/>
    <w:rsid w:val="00A60EDA"/>
    <w:rsid w:val="00A61423"/>
    <w:rsid w:val="00A614BB"/>
    <w:rsid w:val="00A61571"/>
    <w:rsid w:val="00A61C4F"/>
    <w:rsid w:val="00A6274B"/>
    <w:rsid w:val="00A62794"/>
    <w:rsid w:val="00A62D82"/>
    <w:rsid w:val="00A6351E"/>
    <w:rsid w:val="00A63CE4"/>
    <w:rsid w:val="00A63E06"/>
    <w:rsid w:val="00A64ECD"/>
    <w:rsid w:val="00A65F7A"/>
    <w:rsid w:val="00A660AB"/>
    <w:rsid w:val="00A66EB3"/>
    <w:rsid w:val="00A67240"/>
    <w:rsid w:val="00A673DC"/>
    <w:rsid w:val="00A675EB"/>
    <w:rsid w:val="00A67E1C"/>
    <w:rsid w:val="00A67F35"/>
    <w:rsid w:val="00A70E92"/>
    <w:rsid w:val="00A7147F"/>
    <w:rsid w:val="00A715F8"/>
    <w:rsid w:val="00A721F6"/>
    <w:rsid w:val="00A72B2E"/>
    <w:rsid w:val="00A72FB8"/>
    <w:rsid w:val="00A733B5"/>
    <w:rsid w:val="00A75056"/>
    <w:rsid w:val="00A752B7"/>
    <w:rsid w:val="00A7577F"/>
    <w:rsid w:val="00A75C42"/>
    <w:rsid w:val="00A76518"/>
    <w:rsid w:val="00A7682D"/>
    <w:rsid w:val="00A76D44"/>
    <w:rsid w:val="00A77479"/>
    <w:rsid w:val="00A77603"/>
    <w:rsid w:val="00A80B52"/>
    <w:rsid w:val="00A81284"/>
    <w:rsid w:val="00A8186E"/>
    <w:rsid w:val="00A81C3E"/>
    <w:rsid w:val="00A824B0"/>
    <w:rsid w:val="00A8268F"/>
    <w:rsid w:val="00A828B2"/>
    <w:rsid w:val="00A82F51"/>
    <w:rsid w:val="00A833C3"/>
    <w:rsid w:val="00A840EA"/>
    <w:rsid w:val="00A85555"/>
    <w:rsid w:val="00A855DB"/>
    <w:rsid w:val="00A85DBC"/>
    <w:rsid w:val="00A86B3F"/>
    <w:rsid w:val="00A87314"/>
    <w:rsid w:val="00A90225"/>
    <w:rsid w:val="00A905CD"/>
    <w:rsid w:val="00A905F9"/>
    <w:rsid w:val="00A91E95"/>
    <w:rsid w:val="00A9204F"/>
    <w:rsid w:val="00A921E4"/>
    <w:rsid w:val="00A932B5"/>
    <w:rsid w:val="00A93341"/>
    <w:rsid w:val="00A9357B"/>
    <w:rsid w:val="00A94033"/>
    <w:rsid w:val="00A94542"/>
    <w:rsid w:val="00A946E5"/>
    <w:rsid w:val="00A94C8C"/>
    <w:rsid w:val="00A952F7"/>
    <w:rsid w:val="00A954FB"/>
    <w:rsid w:val="00A956AE"/>
    <w:rsid w:val="00A956BE"/>
    <w:rsid w:val="00A9643D"/>
    <w:rsid w:val="00A97606"/>
    <w:rsid w:val="00A976C0"/>
    <w:rsid w:val="00A97BCD"/>
    <w:rsid w:val="00AA04F0"/>
    <w:rsid w:val="00AA0735"/>
    <w:rsid w:val="00AA0995"/>
    <w:rsid w:val="00AA0BB2"/>
    <w:rsid w:val="00AA0D34"/>
    <w:rsid w:val="00AA1F22"/>
    <w:rsid w:val="00AA2FBF"/>
    <w:rsid w:val="00AA365E"/>
    <w:rsid w:val="00AA37A3"/>
    <w:rsid w:val="00AA38E7"/>
    <w:rsid w:val="00AA397C"/>
    <w:rsid w:val="00AA4177"/>
    <w:rsid w:val="00AA431D"/>
    <w:rsid w:val="00AA461C"/>
    <w:rsid w:val="00AA49FA"/>
    <w:rsid w:val="00AA5266"/>
    <w:rsid w:val="00AA5A3B"/>
    <w:rsid w:val="00AA62DE"/>
    <w:rsid w:val="00AA6308"/>
    <w:rsid w:val="00AA63A0"/>
    <w:rsid w:val="00AA6597"/>
    <w:rsid w:val="00AA7427"/>
    <w:rsid w:val="00AA796F"/>
    <w:rsid w:val="00AB007C"/>
    <w:rsid w:val="00AB02AB"/>
    <w:rsid w:val="00AB0711"/>
    <w:rsid w:val="00AB0C73"/>
    <w:rsid w:val="00AB0D81"/>
    <w:rsid w:val="00AB1275"/>
    <w:rsid w:val="00AB13A5"/>
    <w:rsid w:val="00AB13B4"/>
    <w:rsid w:val="00AB1B0E"/>
    <w:rsid w:val="00AB20E3"/>
    <w:rsid w:val="00AB357C"/>
    <w:rsid w:val="00AB3911"/>
    <w:rsid w:val="00AB3A30"/>
    <w:rsid w:val="00AB4BEE"/>
    <w:rsid w:val="00AB5348"/>
    <w:rsid w:val="00AB690D"/>
    <w:rsid w:val="00AB6A8B"/>
    <w:rsid w:val="00AB6D6E"/>
    <w:rsid w:val="00AB73E0"/>
    <w:rsid w:val="00AB7F0B"/>
    <w:rsid w:val="00AC02B4"/>
    <w:rsid w:val="00AC0715"/>
    <w:rsid w:val="00AC196F"/>
    <w:rsid w:val="00AC22A7"/>
    <w:rsid w:val="00AC26BE"/>
    <w:rsid w:val="00AC2ED2"/>
    <w:rsid w:val="00AC37FF"/>
    <w:rsid w:val="00AC39D7"/>
    <w:rsid w:val="00AC40DF"/>
    <w:rsid w:val="00AC4394"/>
    <w:rsid w:val="00AC43CA"/>
    <w:rsid w:val="00AC4D5F"/>
    <w:rsid w:val="00AC50FD"/>
    <w:rsid w:val="00AC5508"/>
    <w:rsid w:val="00AC7009"/>
    <w:rsid w:val="00AC71D9"/>
    <w:rsid w:val="00AC790B"/>
    <w:rsid w:val="00AC7A42"/>
    <w:rsid w:val="00AD00DD"/>
    <w:rsid w:val="00AD0882"/>
    <w:rsid w:val="00AD0D40"/>
    <w:rsid w:val="00AD15B7"/>
    <w:rsid w:val="00AD1C37"/>
    <w:rsid w:val="00AD1F80"/>
    <w:rsid w:val="00AD2385"/>
    <w:rsid w:val="00AD25C8"/>
    <w:rsid w:val="00AD28D3"/>
    <w:rsid w:val="00AD2E75"/>
    <w:rsid w:val="00AD342D"/>
    <w:rsid w:val="00AD3618"/>
    <w:rsid w:val="00AD3674"/>
    <w:rsid w:val="00AD37CC"/>
    <w:rsid w:val="00AD4385"/>
    <w:rsid w:val="00AD590E"/>
    <w:rsid w:val="00AD5ABF"/>
    <w:rsid w:val="00AD5C23"/>
    <w:rsid w:val="00AD5F5F"/>
    <w:rsid w:val="00AD6419"/>
    <w:rsid w:val="00AD6493"/>
    <w:rsid w:val="00AD6505"/>
    <w:rsid w:val="00AD7EF7"/>
    <w:rsid w:val="00AE09E4"/>
    <w:rsid w:val="00AE1BE5"/>
    <w:rsid w:val="00AE2781"/>
    <w:rsid w:val="00AE444C"/>
    <w:rsid w:val="00AE45C4"/>
    <w:rsid w:val="00AE4765"/>
    <w:rsid w:val="00AE49BE"/>
    <w:rsid w:val="00AE4BAE"/>
    <w:rsid w:val="00AE57A5"/>
    <w:rsid w:val="00AE5A2D"/>
    <w:rsid w:val="00AE5B31"/>
    <w:rsid w:val="00AE5D1C"/>
    <w:rsid w:val="00AE5FD6"/>
    <w:rsid w:val="00AE783D"/>
    <w:rsid w:val="00AF046A"/>
    <w:rsid w:val="00AF155B"/>
    <w:rsid w:val="00AF21EE"/>
    <w:rsid w:val="00AF41DC"/>
    <w:rsid w:val="00AF42AE"/>
    <w:rsid w:val="00AF42D7"/>
    <w:rsid w:val="00AF4F12"/>
    <w:rsid w:val="00AF5CEB"/>
    <w:rsid w:val="00AF5D64"/>
    <w:rsid w:val="00AF5E31"/>
    <w:rsid w:val="00AF610C"/>
    <w:rsid w:val="00AF6C53"/>
    <w:rsid w:val="00AF6E10"/>
    <w:rsid w:val="00AF740A"/>
    <w:rsid w:val="00AF7B18"/>
    <w:rsid w:val="00AF7C97"/>
    <w:rsid w:val="00B014E0"/>
    <w:rsid w:val="00B01845"/>
    <w:rsid w:val="00B018FA"/>
    <w:rsid w:val="00B01BE2"/>
    <w:rsid w:val="00B02451"/>
    <w:rsid w:val="00B028F5"/>
    <w:rsid w:val="00B0439D"/>
    <w:rsid w:val="00B05DBD"/>
    <w:rsid w:val="00B06A4A"/>
    <w:rsid w:val="00B06E90"/>
    <w:rsid w:val="00B07BC5"/>
    <w:rsid w:val="00B1087C"/>
    <w:rsid w:val="00B11079"/>
    <w:rsid w:val="00B11377"/>
    <w:rsid w:val="00B1217F"/>
    <w:rsid w:val="00B122B9"/>
    <w:rsid w:val="00B12374"/>
    <w:rsid w:val="00B132B3"/>
    <w:rsid w:val="00B14071"/>
    <w:rsid w:val="00B14435"/>
    <w:rsid w:val="00B145D3"/>
    <w:rsid w:val="00B16E7C"/>
    <w:rsid w:val="00B17708"/>
    <w:rsid w:val="00B2069A"/>
    <w:rsid w:val="00B20A73"/>
    <w:rsid w:val="00B20B4F"/>
    <w:rsid w:val="00B20C25"/>
    <w:rsid w:val="00B210FD"/>
    <w:rsid w:val="00B211FD"/>
    <w:rsid w:val="00B227F1"/>
    <w:rsid w:val="00B22B74"/>
    <w:rsid w:val="00B22D56"/>
    <w:rsid w:val="00B22EAF"/>
    <w:rsid w:val="00B23802"/>
    <w:rsid w:val="00B23876"/>
    <w:rsid w:val="00B23F8D"/>
    <w:rsid w:val="00B249BD"/>
    <w:rsid w:val="00B24EFF"/>
    <w:rsid w:val="00B26141"/>
    <w:rsid w:val="00B26672"/>
    <w:rsid w:val="00B269A4"/>
    <w:rsid w:val="00B27D45"/>
    <w:rsid w:val="00B301DB"/>
    <w:rsid w:val="00B30604"/>
    <w:rsid w:val="00B3080A"/>
    <w:rsid w:val="00B30D75"/>
    <w:rsid w:val="00B318AB"/>
    <w:rsid w:val="00B331BF"/>
    <w:rsid w:val="00B33304"/>
    <w:rsid w:val="00B3398D"/>
    <w:rsid w:val="00B3492D"/>
    <w:rsid w:val="00B34A91"/>
    <w:rsid w:val="00B34EEA"/>
    <w:rsid w:val="00B350D9"/>
    <w:rsid w:val="00B35235"/>
    <w:rsid w:val="00B3568E"/>
    <w:rsid w:val="00B3606B"/>
    <w:rsid w:val="00B36A61"/>
    <w:rsid w:val="00B36B8A"/>
    <w:rsid w:val="00B37FF4"/>
    <w:rsid w:val="00B402DB"/>
    <w:rsid w:val="00B40F70"/>
    <w:rsid w:val="00B41D22"/>
    <w:rsid w:val="00B42996"/>
    <w:rsid w:val="00B433BB"/>
    <w:rsid w:val="00B43AF9"/>
    <w:rsid w:val="00B43C5C"/>
    <w:rsid w:val="00B44A4F"/>
    <w:rsid w:val="00B44D09"/>
    <w:rsid w:val="00B45557"/>
    <w:rsid w:val="00B45A6D"/>
    <w:rsid w:val="00B46A07"/>
    <w:rsid w:val="00B50909"/>
    <w:rsid w:val="00B50A4D"/>
    <w:rsid w:val="00B50E32"/>
    <w:rsid w:val="00B51432"/>
    <w:rsid w:val="00B515FC"/>
    <w:rsid w:val="00B51849"/>
    <w:rsid w:val="00B51A90"/>
    <w:rsid w:val="00B51E56"/>
    <w:rsid w:val="00B51F4B"/>
    <w:rsid w:val="00B52641"/>
    <w:rsid w:val="00B5303F"/>
    <w:rsid w:val="00B53358"/>
    <w:rsid w:val="00B538AD"/>
    <w:rsid w:val="00B53A8C"/>
    <w:rsid w:val="00B53C87"/>
    <w:rsid w:val="00B53DAC"/>
    <w:rsid w:val="00B53FCF"/>
    <w:rsid w:val="00B556DF"/>
    <w:rsid w:val="00B55B13"/>
    <w:rsid w:val="00B5608B"/>
    <w:rsid w:val="00B561C4"/>
    <w:rsid w:val="00B563B5"/>
    <w:rsid w:val="00B5649E"/>
    <w:rsid w:val="00B57721"/>
    <w:rsid w:val="00B5784D"/>
    <w:rsid w:val="00B57E89"/>
    <w:rsid w:val="00B57FBE"/>
    <w:rsid w:val="00B606D2"/>
    <w:rsid w:val="00B608E0"/>
    <w:rsid w:val="00B60942"/>
    <w:rsid w:val="00B60BA9"/>
    <w:rsid w:val="00B61752"/>
    <w:rsid w:val="00B61975"/>
    <w:rsid w:val="00B61FF0"/>
    <w:rsid w:val="00B631A6"/>
    <w:rsid w:val="00B63C27"/>
    <w:rsid w:val="00B6523A"/>
    <w:rsid w:val="00B653D0"/>
    <w:rsid w:val="00B6620B"/>
    <w:rsid w:val="00B66F48"/>
    <w:rsid w:val="00B67595"/>
    <w:rsid w:val="00B67680"/>
    <w:rsid w:val="00B67831"/>
    <w:rsid w:val="00B67890"/>
    <w:rsid w:val="00B67C35"/>
    <w:rsid w:val="00B7021A"/>
    <w:rsid w:val="00B71772"/>
    <w:rsid w:val="00B72097"/>
    <w:rsid w:val="00B72E8F"/>
    <w:rsid w:val="00B72EAB"/>
    <w:rsid w:val="00B734A7"/>
    <w:rsid w:val="00B738D5"/>
    <w:rsid w:val="00B742FB"/>
    <w:rsid w:val="00B74DF1"/>
    <w:rsid w:val="00B75CDB"/>
    <w:rsid w:val="00B769DC"/>
    <w:rsid w:val="00B773F1"/>
    <w:rsid w:val="00B77606"/>
    <w:rsid w:val="00B7769B"/>
    <w:rsid w:val="00B776C9"/>
    <w:rsid w:val="00B77F0E"/>
    <w:rsid w:val="00B80844"/>
    <w:rsid w:val="00B8095B"/>
    <w:rsid w:val="00B80EA5"/>
    <w:rsid w:val="00B81742"/>
    <w:rsid w:val="00B817FD"/>
    <w:rsid w:val="00B81BEB"/>
    <w:rsid w:val="00B81D10"/>
    <w:rsid w:val="00B81D6C"/>
    <w:rsid w:val="00B837F4"/>
    <w:rsid w:val="00B83EDF"/>
    <w:rsid w:val="00B84FF3"/>
    <w:rsid w:val="00B85D18"/>
    <w:rsid w:val="00B865AD"/>
    <w:rsid w:val="00B868A5"/>
    <w:rsid w:val="00B86927"/>
    <w:rsid w:val="00B878E1"/>
    <w:rsid w:val="00B87A1E"/>
    <w:rsid w:val="00B87EB4"/>
    <w:rsid w:val="00B902DE"/>
    <w:rsid w:val="00B905DD"/>
    <w:rsid w:val="00B909F4"/>
    <w:rsid w:val="00B90A85"/>
    <w:rsid w:val="00B92DAD"/>
    <w:rsid w:val="00B93F4D"/>
    <w:rsid w:val="00B94559"/>
    <w:rsid w:val="00B95160"/>
    <w:rsid w:val="00B9516B"/>
    <w:rsid w:val="00B9525C"/>
    <w:rsid w:val="00B96803"/>
    <w:rsid w:val="00B97E6C"/>
    <w:rsid w:val="00BA09D3"/>
    <w:rsid w:val="00BA144C"/>
    <w:rsid w:val="00BA1A7D"/>
    <w:rsid w:val="00BA1DCC"/>
    <w:rsid w:val="00BA1FD6"/>
    <w:rsid w:val="00BA2DFD"/>
    <w:rsid w:val="00BA38C3"/>
    <w:rsid w:val="00BA3A3B"/>
    <w:rsid w:val="00BA506C"/>
    <w:rsid w:val="00BA6752"/>
    <w:rsid w:val="00BA6B1E"/>
    <w:rsid w:val="00BA6F5A"/>
    <w:rsid w:val="00BA7096"/>
    <w:rsid w:val="00BA70B0"/>
    <w:rsid w:val="00BA747A"/>
    <w:rsid w:val="00BA7662"/>
    <w:rsid w:val="00BB048E"/>
    <w:rsid w:val="00BB13B7"/>
    <w:rsid w:val="00BB2245"/>
    <w:rsid w:val="00BB2390"/>
    <w:rsid w:val="00BB32BD"/>
    <w:rsid w:val="00BB464B"/>
    <w:rsid w:val="00BB585D"/>
    <w:rsid w:val="00BB5A8A"/>
    <w:rsid w:val="00BB6294"/>
    <w:rsid w:val="00BB660F"/>
    <w:rsid w:val="00BB66EE"/>
    <w:rsid w:val="00BB6B49"/>
    <w:rsid w:val="00BB711D"/>
    <w:rsid w:val="00BB74DA"/>
    <w:rsid w:val="00BB7503"/>
    <w:rsid w:val="00BB77D9"/>
    <w:rsid w:val="00BB7CB3"/>
    <w:rsid w:val="00BB7D54"/>
    <w:rsid w:val="00BC0042"/>
    <w:rsid w:val="00BC0475"/>
    <w:rsid w:val="00BC05D2"/>
    <w:rsid w:val="00BC1397"/>
    <w:rsid w:val="00BC17D0"/>
    <w:rsid w:val="00BC1C7A"/>
    <w:rsid w:val="00BC1FA9"/>
    <w:rsid w:val="00BC1FAE"/>
    <w:rsid w:val="00BC25C8"/>
    <w:rsid w:val="00BC2611"/>
    <w:rsid w:val="00BC3882"/>
    <w:rsid w:val="00BC4672"/>
    <w:rsid w:val="00BC498F"/>
    <w:rsid w:val="00BC4CC5"/>
    <w:rsid w:val="00BC5339"/>
    <w:rsid w:val="00BC57FB"/>
    <w:rsid w:val="00BC69E0"/>
    <w:rsid w:val="00BC79BA"/>
    <w:rsid w:val="00BD06DB"/>
    <w:rsid w:val="00BD0B3F"/>
    <w:rsid w:val="00BD0C5D"/>
    <w:rsid w:val="00BD122C"/>
    <w:rsid w:val="00BD12AC"/>
    <w:rsid w:val="00BD158E"/>
    <w:rsid w:val="00BD1B99"/>
    <w:rsid w:val="00BD283D"/>
    <w:rsid w:val="00BD29DC"/>
    <w:rsid w:val="00BD2A4E"/>
    <w:rsid w:val="00BD2F2D"/>
    <w:rsid w:val="00BD391A"/>
    <w:rsid w:val="00BD3B9C"/>
    <w:rsid w:val="00BD50A7"/>
    <w:rsid w:val="00BD51CF"/>
    <w:rsid w:val="00BD51F9"/>
    <w:rsid w:val="00BD5215"/>
    <w:rsid w:val="00BD66B7"/>
    <w:rsid w:val="00BD6975"/>
    <w:rsid w:val="00BD6A37"/>
    <w:rsid w:val="00BD6BB4"/>
    <w:rsid w:val="00BD6D53"/>
    <w:rsid w:val="00BD7031"/>
    <w:rsid w:val="00BD7A82"/>
    <w:rsid w:val="00BE12C5"/>
    <w:rsid w:val="00BE2ACF"/>
    <w:rsid w:val="00BE414C"/>
    <w:rsid w:val="00BE4254"/>
    <w:rsid w:val="00BE4812"/>
    <w:rsid w:val="00BE57AA"/>
    <w:rsid w:val="00BE6124"/>
    <w:rsid w:val="00BE65F7"/>
    <w:rsid w:val="00BE7CF4"/>
    <w:rsid w:val="00BF02EC"/>
    <w:rsid w:val="00BF1360"/>
    <w:rsid w:val="00BF1CF3"/>
    <w:rsid w:val="00BF23C6"/>
    <w:rsid w:val="00BF2535"/>
    <w:rsid w:val="00BF28EF"/>
    <w:rsid w:val="00BF2FA6"/>
    <w:rsid w:val="00BF3FB6"/>
    <w:rsid w:val="00BF4014"/>
    <w:rsid w:val="00BF4065"/>
    <w:rsid w:val="00BF49C4"/>
    <w:rsid w:val="00BF4BA2"/>
    <w:rsid w:val="00BF4BFC"/>
    <w:rsid w:val="00BF4CF1"/>
    <w:rsid w:val="00BF5BA5"/>
    <w:rsid w:val="00BF6A71"/>
    <w:rsid w:val="00BF6B03"/>
    <w:rsid w:val="00BF6D78"/>
    <w:rsid w:val="00BF7873"/>
    <w:rsid w:val="00BF7C82"/>
    <w:rsid w:val="00C00192"/>
    <w:rsid w:val="00C009A5"/>
    <w:rsid w:val="00C00BEB"/>
    <w:rsid w:val="00C01062"/>
    <w:rsid w:val="00C01908"/>
    <w:rsid w:val="00C024EE"/>
    <w:rsid w:val="00C04123"/>
    <w:rsid w:val="00C046F4"/>
    <w:rsid w:val="00C049A0"/>
    <w:rsid w:val="00C04D09"/>
    <w:rsid w:val="00C04EB3"/>
    <w:rsid w:val="00C05331"/>
    <w:rsid w:val="00C05466"/>
    <w:rsid w:val="00C06215"/>
    <w:rsid w:val="00C0711F"/>
    <w:rsid w:val="00C0716D"/>
    <w:rsid w:val="00C07207"/>
    <w:rsid w:val="00C078FA"/>
    <w:rsid w:val="00C079F7"/>
    <w:rsid w:val="00C07C36"/>
    <w:rsid w:val="00C07DC1"/>
    <w:rsid w:val="00C100C1"/>
    <w:rsid w:val="00C102EC"/>
    <w:rsid w:val="00C10DA4"/>
    <w:rsid w:val="00C11213"/>
    <w:rsid w:val="00C1163C"/>
    <w:rsid w:val="00C11758"/>
    <w:rsid w:val="00C11766"/>
    <w:rsid w:val="00C11A54"/>
    <w:rsid w:val="00C11CCF"/>
    <w:rsid w:val="00C11F91"/>
    <w:rsid w:val="00C1246A"/>
    <w:rsid w:val="00C12A1A"/>
    <w:rsid w:val="00C12EA7"/>
    <w:rsid w:val="00C13112"/>
    <w:rsid w:val="00C1470B"/>
    <w:rsid w:val="00C14900"/>
    <w:rsid w:val="00C1494D"/>
    <w:rsid w:val="00C14C5B"/>
    <w:rsid w:val="00C14F3E"/>
    <w:rsid w:val="00C1599A"/>
    <w:rsid w:val="00C1635A"/>
    <w:rsid w:val="00C1691A"/>
    <w:rsid w:val="00C17507"/>
    <w:rsid w:val="00C179ED"/>
    <w:rsid w:val="00C17AA2"/>
    <w:rsid w:val="00C17E83"/>
    <w:rsid w:val="00C17F16"/>
    <w:rsid w:val="00C2085C"/>
    <w:rsid w:val="00C21EC9"/>
    <w:rsid w:val="00C221DC"/>
    <w:rsid w:val="00C22342"/>
    <w:rsid w:val="00C223CB"/>
    <w:rsid w:val="00C22F4E"/>
    <w:rsid w:val="00C2340E"/>
    <w:rsid w:val="00C2470B"/>
    <w:rsid w:val="00C2483D"/>
    <w:rsid w:val="00C249AB"/>
    <w:rsid w:val="00C25473"/>
    <w:rsid w:val="00C263FD"/>
    <w:rsid w:val="00C264FE"/>
    <w:rsid w:val="00C265DA"/>
    <w:rsid w:val="00C26C8A"/>
    <w:rsid w:val="00C27116"/>
    <w:rsid w:val="00C27179"/>
    <w:rsid w:val="00C274C9"/>
    <w:rsid w:val="00C30A1B"/>
    <w:rsid w:val="00C3155F"/>
    <w:rsid w:val="00C31971"/>
    <w:rsid w:val="00C31CA0"/>
    <w:rsid w:val="00C32586"/>
    <w:rsid w:val="00C32A13"/>
    <w:rsid w:val="00C32F39"/>
    <w:rsid w:val="00C330EC"/>
    <w:rsid w:val="00C335EC"/>
    <w:rsid w:val="00C34568"/>
    <w:rsid w:val="00C34C58"/>
    <w:rsid w:val="00C3520D"/>
    <w:rsid w:val="00C353D3"/>
    <w:rsid w:val="00C354C1"/>
    <w:rsid w:val="00C35522"/>
    <w:rsid w:val="00C36003"/>
    <w:rsid w:val="00C36215"/>
    <w:rsid w:val="00C37CA0"/>
    <w:rsid w:val="00C37D0D"/>
    <w:rsid w:val="00C37E0D"/>
    <w:rsid w:val="00C40EFC"/>
    <w:rsid w:val="00C41133"/>
    <w:rsid w:val="00C4144E"/>
    <w:rsid w:val="00C41A50"/>
    <w:rsid w:val="00C41FFE"/>
    <w:rsid w:val="00C423EF"/>
    <w:rsid w:val="00C42D14"/>
    <w:rsid w:val="00C43003"/>
    <w:rsid w:val="00C431F9"/>
    <w:rsid w:val="00C43D5F"/>
    <w:rsid w:val="00C43DA2"/>
    <w:rsid w:val="00C449DE"/>
    <w:rsid w:val="00C449F6"/>
    <w:rsid w:val="00C45719"/>
    <w:rsid w:val="00C45D10"/>
    <w:rsid w:val="00C460F2"/>
    <w:rsid w:val="00C46408"/>
    <w:rsid w:val="00C4656A"/>
    <w:rsid w:val="00C46649"/>
    <w:rsid w:val="00C46882"/>
    <w:rsid w:val="00C47181"/>
    <w:rsid w:val="00C472CC"/>
    <w:rsid w:val="00C47525"/>
    <w:rsid w:val="00C478CD"/>
    <w:rsid w:val="00C47CED"/>
    <w:rsid w:val="00C47F18"/>
    <w:rsid w:val="00C5021B"/>
    <w:rsid w:val="00C516A8"/>
    <w:rsid w:val="00C51733"/>
    <w:rsid w:val="00C52A5E"/>
    <w:rsid w:val="00C5325B"/>
    <w:rsid w:val="00C53B63"/>
    <w:rsid w:val="00C53F8C"/>
    <w:rsid w:val="00C5419C"/>
    <w:rsid w:val="00C548CB"/>
    <w:rsid w:val="00C551CC"/>
    <w:rsid w:val="00C551EA"/>
    <w:rsid w:val="00C55396"/>
    <w:rsid w:val="00C55685"/>
    <w:rsid w:val="00C567B3"/>
    <w:rsid w:val="00C56BFB"/>
    <w:rsid w:val="00C56C2C"/>
    <w:rsid w:val="00C575A5"/>
    <w:rsid w:val="00C57BB0"/>
    <w:rsid w:val="00C600F7"/>
    <w:rsid w:val="00C60AE0"/>
    <w:rsid w:val="00C614C3"/>
    <w:rsid w:val="00C615A6"/>
    <w:rsid w:val="00C63669"/>
    <w:rsid w:val="00C63E05"/>
    <w:rsid w:val="00C64169"/>
    <w:rsid w:val="00C6437C"/>
    <w:rsid w:val="00C6464A"/>
    <w:rsid w:val="00C658A9"/>
    <w:rsid w:val="00C65DF9"/>
    <w:rsid w:val="00C6627F"/>
    <w:rsid w:val="00C66309"/>
    <w:rsid w:val="00C66617"/>
    <w:rsid w:val="00C66FD1"/>
    <w:rsid w:val="00C67519"/>
    <w:rsid w:val="00C70339"/>
    <w:rsid w:val="00C7045D"/>
    <w:rsid w:val="00C70F77"/>
    <w:rsid w:val="00C719C0"/>
    <w:rsid w:val="00C719E5"/>
    <w:rsid w:val="00C721D4"/>
    <w:rsid w:val="00C72427"/>
    <w:rsid w:val="00C73FBD"/>
    <w:rsid w:val="00C743C2"/>
    <w:rsid w:val="00C74578"/>
    <w:rsid w:val="00C75D76"/>
    <w:rsid w:val="00C766BC"/>
    <w:rsid w:val="00C76E44"/>
    <w:rsid w:val="00C81022"/>
    <w:rsid w:val="00C82155"/>
    <w:rsid w:val="00C82229"/>
    <w:rsid w:val="00C83F9A"/>
    <w:rsid w:val="00C84455"/>
    <w:rsid w:val="00C84BED"/>
    <w:rsid w:val="00C85E26"/>
    <w:rsid w:val="00C86460"/>
    <w:rsid w:val="00C864FA"/>
    <w:rsid w:val="00C8673D"/>
    <w:rsid w:val="00C8693D"/>
    <w:rsid w:val="00C873D7"/>
    <w:rsid w:val="00C87EFD"/>
    <w:rsid w:val="00C90546"/>
    <w:rsid w:val="00C90C36"/>
    <w:rsid w:val="00C91453"/>
    <w:rsid w:val="00C9149E"/>
    <w:rsid w:val="00C915D5"/>
    <w:rsid w:val="00C91BFC"/>
    <w:rsid w:val="00C91D97"/>
    <w:rsid w:val="00C92F9E"/>
    <w:rsid w:val="00C932C1"/>
    <w:rsid w:val="00C939EF"/>
    <w:rsid w:val="00C93B74"/>
    <w:rsid w:val="00C9422A"/>
    <w:rsid w:val="00C94249"/>
    <w:rsid w:val="00C944EE"/>
    <w:rsid w:val="00C94FF5"/>
    <w:rsid w:val="00C95B94"/>
    <w:rsid w:val="00C97724"/>
    <w:rsid w:val="00C97766"/>
    <w:rsid w:val="00C97AC2"/>
    <w:rsid w:val="00C97CD1"/>
    <w:rsid w:val="00CA0187"/>
    <w:rsid w:val="00CA0811"/>
    <w:rsid w:val="00CA12D9"/>
    <w:rsid w:val="00CA1423"/>
    <w:rsid w:val="00CA1FC1"/>
    <w:rsid w:val="00CA2439"/>
    <w:rsid w:val="00CA2719"/>
    <w:rsid w:val="00CA2794"/>
    <w:rsid w:val="00CA3899"/>
    <w:rsid w:val="00CA3F9D"/>
    <w:rsid w:val="00CA3FDD"/>
    <w:rsid w:val="00CA4CD6"/>
    <w:rsid w:val="00CA4E04"/>
    <w:rsid w:val="00CA4EAC"/>
    <w:rsid w:val="00CA5C70"/>
    <w:rsid w:val="00CA6261"/>
    <w:rsid w:val="00CA6C10"/>
    <w:rsid w:val="00CA784C"/>
    <w:rsid w:val="00CA7FED"/>
    <w:rsid w:val="00CB068B"/>
    <w:rsid w:val="00CB09D5"/>
    <w:rsid w:val="00CB3402"/>
    <w:rsid w:val="00CB3792"/>
    <w:rsid w:val="00CB38CC"/>
    <w:rsid w:val="00CB3CED"/>
    <w:rsid w:val="00CB3CF6"/>
    <w:rsid w:val="00CB3E42"/>
    <w:rsid w:val="00CB4277"/>
    <w:rsid w:val="00CB457E"/>
    <w:rsid w:val="00CB49E0"/>
    <w:rsid w:val="00CB4A0B"/>
    <w:rsid w:val="00CB5139"/>
    <w:rsid w:val="00CB5825"/>
    <w:rsid w:val="00CB5917"/>
    <w:rsid w:val="00CB5B17"/>
    <w:rsid w:val="00CB5DD4"/>
    <w:rsid w:val="00CB61A9"/>
    <w:rsid w:val="00CC04E6"/>
    <w:rsid w:val="00CC0A92"/>
    <w:rsid w:val="00CC1055"/>
    <w:rsid w:val="00CC16F7"/>
    <w:rsid w:val="00CC1714"/>
    <w:rsid w:val="00CC176F"/>
    <w:rsid w:val="00CC18DB"/>
    <w:rsid w:val="00CC1DC2"/>
    <w:rsid w:val="00CC1E79"/>
    <w:rsid w:val="00CC1F78"/>
    <w:rsid w:val="00CC28FD"/>
    <w:rsid w:val="00CC2A61"/>
    <w:rsid w:val="00CC38FE"/>
    <w:rsid w:val="00CC3EAF"/>
    <w:rsid w:val="00CC4376"/>
    <w:rsid w:val="00CC4798"/>
    <w:rsid w:val="00CC47CC"/>
    <w:rsid w:val="00CC4E13"/>
    <w:rsid w:val="00CC56F9"/>
    <w:rsid w:val="00CC574C"/>
    <w:rsid w:val="00CC5CC3"/>
    <w:rsid w:val="00CC5E97"/>
    <w:rsid w:val="00CC6BD5"/>
    <w:rsid w:val="00CC7013"/>
    <w:rsid w:val="00CC71D2"/>
    <w:rsid w:val="00CC7313"/>
    <w:rsid w:val="00CC78E5"/>
    <w:rsid w:val="00CC7919"/>
    <w:rsid w:val="00CC7ADC"/>
    <w:rsid w:val="00CD00D8"/>
    <w:rsid w:val="00CD02FA"/>
    <w:rsid w:val="00CD0368"/>
    <w:rsid w:val="00CD03F0"/>
    <w:rsid w:val="00CD0522"/>
    <w:rsid w:val="00CD118F"/>
    <w:rsid w:val="00CD1939"/>
    <w:rsid w:val="00CD1BE4"/>
    <w:rsid w:val="00CD22A5"/>
    <w:rsid w:val="00CD2374"/>
    <w:rsid w:val="00CD31F4"/>
    <w:rsid w:val="00CD3297"/>
    <w:rsid w:val="00CD3347"/>
    <w:rsid w:val="00CD3749"/>
    <w:rsid w:val="00CD37B5"/>
    <w:rsid w:val="00CD3F02"/>
    <w:rsid w:val="00CD3F4F"/>
    <w:rsid w:val="00CD41B9"/>
    <w:rsid w:val="00CD4B02"/>
    <w:rsid w:val="00CD5EAB"/>
    <w:rsid w:val="00CD5EB5"/>
    <w:rsid w:val="00CD5F3B"/>
    <w:rsid w:val="00CD63FE"/>
    <w:rsid w:val="00CD6630"/>
    <w:rsid w:val="00CD68FC"/>
    <w:rsid w:val="00CD6CE2"/>
    <w:rsid w:val="00CD6DEC"/>
    <w:rsid w:val="00CD6F68"/>
    <w:rsid w:val="00CD6FC0"/>
    <w:rsid w:val="00CD7682"/>
    <w:rsid w:val="00CD76C2"/>
    <w:rsid w:val="00CD782B"/>
    <w:rsid w:val="00CE05E9"/>
    <w:rsid w:val="00CE135F"/>
    <w:rsid w:val="00CE16E9"/>
    <w:rsid w:val="00CE17AF"/>
    <w:rsid w:val="00CE1912"/>
    <w:rsid w:val="00CE197F"/>
    <w:rsid w:val="00CE25C0"/>
    <w:rsid w:val="00CE2F1C"/>
    <w:rsid w:val="00CE36A2"/>
    <w:rsid w:val="00CE3ED0"/>
    <w:rsid w:val="00CE453A"/>
    <w:rsid w:val="00CE4954"/>
    <w:rsid w:val="00CE7233"/>
    <w:rsid w:val="00CE77F1"/>
    <w:rsid w:val="00CF0442"/>
    <w:rsid w:val="00CF142F"/>
    <w:rsid w:val="00CF1BA7"/>
    <w:rsid w:val="00CF22E5"/>
    <w:rsid w:val="00CF2EB8"/>
    <w:rsid w:val="00CF346A"/>
    <w:rsid w:val="00CF36AC"/>
    <w:rsid w:val="00CF36FD"/>
    <w:rsid w:val="00CF3758"/>
    <w:rsid w:val="00CF455A"/>
    <w:rsid w:val="00CF559A"/>
    <w:rsid w:val="00CF57A6"/>
    <w:rsid w:val="00CF5A6C"/>
    <w:rsid w:val="00CF60C2"/>
    <w:rsid w:val="00CF676C"/>
    <w:rsid w:val="00CF676F"/>
    <w:rsid w:val="00CF686F"/>
    <w:rsid w:val="00CF6A1A"/>
    <w:rsid w:val="00CF7FD8"/>
    <w:rsid w:val="00D01286"/>
    <w:rsid w:val="00D01677"/>
    <w:rsid w:val="00D0240C"/>
    <w:rsid w:val="00D02BA4"/>
    <w:rsid w:val="00D02DE1"/>
    <w:rsid w:val="00D03329"/>
    <w:rsid w:val="00D03833"/>
    <w:rsid w:val="00D03F21"/>
    <w:rsid w:val="00D046E9"/>
    <w:rsid w:val="00D05633"/>
    <w:rsid w:val="00D056E5"/>
    <w:rsid w:val="00D0601C"/>
    <w:rsid w:val="00D06279"/>
    <w:rsid w:val="00D0639F"/>
    <w:rsid w:val="00D064C7"/>
    <w:rsid w:val="00D064E0"/>
    <w:rsid w:val="00D06CAA"/>
    <w:rsid w:val="00D10034"/>
    <w:rsid w:val="00D10431"/>
    <w:rsid w:val="00D1054F"/>
    <w:rsid w:val="00D109F2"/>
    <w:rsid w:val="00D10B82"/>
    <w:rsid w:val="00D1102C"/>
    <w:rsid w:val="00D11839"/>
    <w:rsid w:val="00D11DDE"/>
    <w:rsid w:val="00D1246F"/>
    <w:rsid w:val="00D12717"/>
    <w:rsid w:val="00D12746"/>
    <w:rsid w:val="00D127CA"/>
    <w:rsid w:val="00D12C55"/>
    <w:rsid w:val="00D130EA"/>
    <w:rsid w:val="00D13CCD"/>
    <w:rsid w:val="00D13D6E"/>
    <w:rsid w:val="00D13DDC"/>
    <w:rsid w:val="00D14CEE"/>
    <w:rsid w:val="00D15415"/>
    <w:rsid w:val="00D166E6"/>
    <w:rsid w:val="00D1688E"/>
    <w:rsid w:val="00D16953"/>
    <w:rsid w:val="00D16D3C"/>
    <w:rsid w:val="00D16FE8"/>
    <w:rsid w:val="00D1793E"/>
    <w:rsid w:val="00D17A45"/>
    <w:rsid w:val="00D17EC8"/>
    <w:rsid w:val="00D20461"/>
    <w:rsid w:val="00D20760"/>
    <w:rsid w:val="00D20880"/>
    <w:rsid w:val="00D20D66"/>
    <w:rsid w:val="00D214EB"/>
    <w:rsid w:val="00D217EB"/>
    <w:rsid w:val="00D2219D"/>
    <w:rsid w:val="00D223C3"/>
    <w:rsid w:val="00D22434"/>
    <w:rsid w:val="00D225C4"/>
    <w:rsid w:val="00D22D1D"/>
    <w:rsid w:val="00D2323C"/>
    <w:rsid w:val="00D23704"/>
    <w:rsid w:val="00D2395E"/>
    <w:rsid w:val="00D23968"/>
    <w:rsid w:val="00D24D38"/>
    <w:rsid w:val="00D24F5B"/>
    <w:rsid w:val="00D25432"/>
    <w:rsid w:val="00D265B8"/>
    <w:rsid w:val="00D266F5"/>
    <w:rsid w:val="00D267F1"/>
    <w:rsid w:val="00D27EF9"/>
    <w:rsid w:val="00D303B4"/>
    <w:rsid w:val="00D30EB7"/>
    <w:rsid w:val="00D312C3"/>
    <w:rsid w:val="00D3138F"/>
    <w:rsid w:val="00D324B8"/>
    <w:rsid w:val="00D33021"/>
    <w:rsid w:val="00D3329A"/>
    <w:rsid w:val="00D33F96"/>
    <w:rsid w:val="00D34222"/>
    <w:rsid w:val="00D34664"/>
    <w:rsid w:val="00D36A35"/>
    <w:rsid w:val="00D36B2F"/>
    <w:rsid w:val="00D37898"/>
    <w:rsid w:val="00D3793A"/>
    <w:rsid w:val="00D40A4A"/>
    <w:rsid w:val="00D418FB"/>
    <w:rsid w:val="00D419C8"/>
    <w:rsid w:val="00D41C82"/>
    <w:rsid w:val="00D41EC6"/>
    <w:rsid w:val="00D423EE"/>
    <w:rsid w:val="00D4284C"/>
    <w:rsid w:val="00D43AE6"/>
    <w:rsid w:val="00D43B28"/>
    <w:rsid w:val="00D43BD3"/>
    <w:rsid w:val="00D44072"/>
    <w:rsid w:val="00D44E51"/>
    <w:rsid w:val="00D45621"/>
    <w:rsid w:val="00D45674"/>
    <w:rsid w:val="00D45F2B"/>
    <w:rsid w:val="00D471E8"/>
    <w:rsid w:val="00D50AE9"/>
    <w:rsid w:val="00D50FF2"/>
    <w:rsid w:val="00D516F5"/>
    <w:rsid w:val="00D5330C"/>
    <w:rsid w:val="00D53325"/>
    <w:rsid w:val="00D53C4F"/>
    <w:rsid w:val="00D544DB"/>
    <w:rsid w:val="00D54869"/>
    <w:rsid w:val="00D54ECB"/>
    <w:rsid w:val="00D556D6"/>
    <w:rsid w:val="00D55AB4"/>
    <w:rsid w:val="00D55D13"/>
    <w:rsid w:val="00D5676A"/>
    <w:rsid w:val="00D57012"/>
    <w:rsid w:val="00D5761A"/>
    <w:rsid w:val="00D576B5"/>
    <w:rsid w:val="00D57A38"/>
    <w:rsid w:val="00D57AAA"/>
    <w:rsid w:val="00D57C9C"/>
    <w:rsid w:val="00D601A8"/>
    <w:rsid w:val="00D613A6"/>
    <w:rsid w:val="00D615F8"/>
    <w:rsid w:val="00D61811"/>
    <w:rsid w:val="00D621FD"/>
    <w:rsid w:val="00D62D62"/>
    <w:rsid w:val="00D636D9"/>
    <w:rsid w:val="00D63C32"/>
    <w:rsid w:val="00D64AF3"/>
    <w:rsid w:val="00D64F51"/>
    <w:rsid w:val="00D65934"/>
    <w:rsid w:val="00D65C3E"/>
    <w:rsid w:val="00D663C6"/>
    <w:rsid w:val="00D66597"/>
    <w:rsid w:val="00D665EF"/>
    <w:rsid w:val="00D66ADA"/>
    <w:rsid w:val="00D67095"/>
    <w:rsid w:val="00D676F7"/>
    <w:rsid w:val="00D67EE7"/>
    <w:rsid w:val="00D70B5E"/>
    <w:rsid w:val="00D71014"/>
    <w:rsid w:val="00D7157E"/>
    <w:rsid w:val="00D71D06"/>
    <w:rsid w:val="00D72449"/>
    <w:rsid w:val="00D72868"/>
    <w:rsid w:val="00D7362D"/>
    <w:rsid w:val="00D73B6C"/>
    <w:rsid w:val="00D73D2E"/>
    <w:rsid w:val="00D73D77"/>
    <w:rsid w:val="00D73FBF"/>
    <w:rsid w:val="00D740B0"/>
    <w:rsid w:val="00D74124"/>
    <w:rsid w:val="00D751E1"/>
    <w:rsid w:val="00D75D93"/>
    <w:rsid w:val="00D7615D"/>
    <w:rsid w:val="00D766AE"/>
    <w:rsid w:val="00D7678D"/>
    <w:rsid w:val="00D76AF1"/>
    <w:rsid w:val="00D76B2A"/>
    <w:rsid w:val="00D76FD3"/>
    <w:rsid w:val="00D77035"/>
    <w:rsid w:val="00D776FA"/>
    <w:rsid w:val="00D777E7"/>
    <w:rsid w:val="00D801FD"/>
    <w:rsid w:val="00D8021D"/>
    <w:rsid w:val="00D81D85"/>
    <w:rsid w:val="00D82159"/>
    <w:rsid w:val="00D8253A"/>
    <w:rsid w:val="00D834C6"/>
    <w:rsid w:val="00D83C2E"/>
    <w:rsid w:val="00D83F50"/>
    <w:rsid w:val="00D8448A"/>
    <w:rsid w:val="00D84759"/>
    <w:rsid w:val="00D847EA"/>
    <w:rsid w:val="00D84F73"/>
    <w:rsid w:val="00D85CD7"/>
    <w:rsid w:val="00D86176"/>
    <w:rsid w:val="00D87027"/>
    <w:rsid w:val="00D901DC"/>
    <w:rsid w:val="00D90D9B"/>
    <w:rsid w:val="00D914AF"/>
    <w:rsid w:val="00D91F1E"/>
    <w:rsid w:val="00D9204A"/>
    <w:rsid w:val="00D93662"/>
    <w:rsid w:val="00D93B38"/>
    <w:rsid w:val="00D93D11"/>
    <w:rsid w:val="00D94A85"/>
    <w:rsid w:val="00D95385"/>
    <w:rsid w:val="00D9540A"/>
    <w:rsid w:val="00D95657"/>
    <w:rsid w:val="00D95831"/>
    <w:rsid w:val="00D95EB6"/>
    <w:rsid w:val="00D9664C"/>
    <w:rsid w:val="00D968AA"/>
    <w:rsid w:val="00D96CD1"/>
    <w:rsid w:val="00D971FB"/>
    <w:rsid w:val="00D978DD"/>
    <w:rsid w:val="00D978FD"/>
    <w:rsid w:val="00D97CFD"/>
    <w:rsid w:val="00DA02D9"/>
    <w:rsid w:val="00DA0345"/>
    <w:rsid w:val="00DA14D6"/>
    <w:rsid w:val="00DA1AF9"/>
    <w:rsid w:val="00DA1F5F"/>
    <w:rsid w:val="00DA25E2"/>
    <w:rsid w:val="00DA26B3"/>
    <w:rsid w:val="00DA2851"/>
    <w:rsid w:val="00DA32BC"/>
    <w:rsid w:val="00DA3DC4"/>
    <w:rsid w:val="00DA419B"/>
    <w:rsid w:val="00DA4349"/>
    <w:rsid w:val="00DA4B46"/>
    <w:rsid w:val="00DA4BD0"/>
    <w:rsid w:val="00DA4FAD"/>
    <w:rsid w:val="00DA4FED"/>
    <w:rsid w:val="00DA50A9"/>
    <w:rsid w:val="00DA5372"/>
    <w:rsid w:val="00DA57E2"/>
    <w:rsid w:val="00DA5C5A"/>
    <w:rsid w:val="00DA6E67"/>
    <w:rsid w:val="00DA6F22"/>
    <w:rsid w:val="00DB0C56"/>
    <w:rsid w:val="00DB15FA"/>
    <w:rsid w:val="00DB1782"/>
    <w:rsid w:val="00DB1D3E"/>
    <w:rsid w:val="00DB1F2A"/>
    <w:rsid w:val="00DB1F83"/>
    <w:rsid w:val="00DB20E9"/>
    <w:rsid w:val="00DB226A"/>
    <w:rsid w:val="00DB2FC7"/>
    <w:rsid w:val="00DB3007"/>
    <w:rsid w:val="00DB3099"/>
    <w:rsid w:val="00DB3654"/>
    <w:rsid w:val="00DB39A1"/>
    <w:rsid w:val="00DB3C8C"/>
    <w:rsid w:val="00DB418D"/>
    <w:rsid w:val="00DB4EB4"/>
    <w:rsid w:val="00DB5226"/>
    <w:rsid w:val="00DB52CE"/>
    <w:rsid w:val="00DB5607"/>
    <w:rsid w:val="00DB5895"/>
    <w:rsid w:val="00DB5B4B"/>
    <w:rsid w:val="00DB5D86"/>
    <w:rsid w:val="00DB66DF"/>
    <w:rsid w:val="00DB68F1"/>
    <w:rsid w:val="00DB6E4C"/>
    <w:rsid w:val="00DB7187"/>
    <w:rsid w:val="00DB794D"/>
    <w:rsid w:val="00DC0A77"/>
    <w:rsid w:val="00DC150C"/>
    <w:rsid w:val="00DC18C3"/>
    <w:rsid w:val="00DC1C82"/>
    <w:rsid w:val="00DC2242"/>
    <w:rsid w:val="00DC2F53"/>
    <w:rsid w:val="00DC3978"/>
    <w:rsid w:val="00DC3A74"/>
    <w:rsid w:val="00DC4189"/>
    <w:rsid w:val="00DC4341"/>
    <w:rsid w:val="00DC50DA"/>
    <w:rsid w:val="00DC5235"/>
    <w:rsid w:val="00DC55BE"/>
    <w:rsid w:val="00DC57B6"/>
    <w:rsid w:val="00DC5978"/>
    <w:rsid w:val="00DC5F21"/>
    <w:rsid w:val="00DC6195"/>
    <w:rsid w:val="00DC628F"/>
    <w:rsid w:val="00DC642C"/>
    <w:rsid w:val="00DC678E"/>
    <w:rsid w:val="00DC6FF0"/>
    <w:rsid w:val="00DD05FE"/>
    <w:rsid w:val="00DD1AB8"/>
    <w:rsid w:val="00DD22B9"/>
    <w:rsid w:val="00DD24A2"/>
    <w:rsid w:val="00DD34A3"/>
    <w:rsid w:val="00DD370A"/>
    <w:rsid w:val="00DD3EAA"/>
    <w:rsid w:val="00DD4542"/>
    <w:rsid w:val="00DD4585"/>
    <w:rsid w:val="00DD4934"/>
    <w:rsid w:val="00DD4CB8"/>
    <w:rsid w:val="00DD589B"/>
    <w:rsid w:val="00DD5D59"/>
    <w:rsid w:val="00DD63DD"/>
    <w:rsid w:val="00DD6594"/>
    <w:rsid w:val="00DD669E"/>
    <w:rsid w:val="00DD68EE"/>
    <w:rsid w:val="00DE02C6"/>
    <w:rsid w:val="00DE02D8"/>
    <w:rsid w:val="00DE0F1B"/>
    <w:rsid w:val="00DE16A3"/>
    <w:rsid w:val="00DE1A1C"/>
    <w:rsid w:val="00DE1C4C"/>
    <w:rsid w:val="00DE3A11"/>
    <w:rsid w:val="00DE3FED"/>
    <w:rsid w:val="00DE4C68"/>
    <w:rsid w:val="00DE4EF2"/>
    <w:rsid w:val="00DE50E0"/>
    <w:rsid w:val="00DE5AE7"/>
    <w:rsid w:val="00DE5FB2"/>
    <w:rsid w:val="00DE6284"/>
    <w:rsid w:val="00DE62FD"/>
    <w:rsid w:val="00DE6545"/>
    <w:rsid w:val="00DE6990"/>
    <w:rsid w:val="00DE71DF"/>
    <w:rsid w:val="00DE7305"/>
    <w:rsid w:val="00DE7BE6"/>
    <w:rsid w:val="00DF0B43"/>
    <w:rsid w:val="00DF0C2F"/>
    <w:rsid w:val="00DF190B"/>
    <w:rsid w:val="00DF2FD0"/>
    <w:rsid w:val="00DF31C7"/>
    <w:rsid w:val="00DF3FA5"/>
    <w:rsid w:val="00DF47FD"/>
    <w:rsid w:val="00DF487C"/>
    <w:rsid w:val="00DF4F90"/>
    <w:rsid w:val="00DF5D5B"/>
    <w:rsid w:val="00DF6E07"/>
    <w:rsid w:val="00DF799A"/>
    <w:rsid w:val="00DF7DF7"/>
    <w:rsid w:val="00DF7E7C"/>
    <w:rsid w:val="00DF7FBB"/>
    <w:rsid w:val="00E00B0A"/>
    <w:rsid w:val="00E00DF0"/>
    <w:rsid w:val="00E016FF"/>
    <w:rsid w:val="00E01A43"/>
    <w:rsid w:val="00E01D75"/>
    <w:rsid w:val="00E01EBF"/>
    <w:rsid w:val="00E03B51"/>
    <w:rsid w:val="00E03D6B"/>
    <w:rsid w:val="00E03EEB"/>
    <w:rsid w:val="00E041A3"/>
    <w:rsid w:val="00E04FED"/>
    <w:rsid w:val="00E07819"/>
    <w:rsid w:val="00E07A2F"/>
    <w:rsid w:val="00E10356"/>
    <w:rsid w:val="00E1181C"/>
    <w:rsid w:val="00E121D0"/>
    <w:rsid w:val="00E12352"/>
    <w:rsid w:val="00E13254"/>
    <w:rsid w:val="00E13409"/>
    <w:rsid w:val="00E13863"/>
    <w:rsid w:val="00E138F0"/>
    <w:rsid w:val="00E139C2"/>
    <w:rsid w:val="00E13A8D"/>
    <w:rsid w:val="00E14593"/>
    <w:rsid w:val="00E147D8"/>
    <w:rsid w:val="00E15853"/>
    <w:rsid w:val="00E15C64"/>
    <w:rsid w:val="00E16144"/>
    <w:rsid w:val="00E16EAB"/>
    <w:rsid w:val="00E17CE9"/>
    <w:rsid w:val="00E17FB1"/>
    <w:rsid w:val="00E21199"/>
    <w:rsid w:val="00E21228"/>
    <w:rsid w:val="00E217DA"/>
    <w:rsid w:val="00E21E38"/>
    <w:rsid w:val="00E21E5C"/>
    <w:rsid w:val="00E21F1F"/>
    <w:rsid w:val="00E24573"/>
    <w:rsid w:val="00E25224"/>
    <w:rsid w:val="00E256D2"/>
    <w:rsid w:val="00E25DA2"/>
    <w:rsid w:val="00E25F7C"/>
    <w:rsid w:val="00E26144"/>
    <w:rsid w:val="00E2632B"/>
    <w:rsid w:val="00E26693"/>
    <w:rsid w:val="00E266B9"/>
    <w:rsid w:val="00E26C1C"/>
    <w:rsid w:val="00E2715B"/>
    <w:rsid w:val="00E27BA1"/>
    <w:rsid w:val="00E27F46"/>
    <w:rsid w:val="00E3012A"/>
    <w:rsid w:val="00E30371"/>
    <w:rsid w:val="00E3064F"/>
    <w:rsid w:val="00E30F5D"/>
    <w:rsid w:val="00E31269"/>
    <w:rsid w:val="00E32759"/>
    <w:rsid w:val="00E334EE"/>
    <w:rsid w:val="00E33A85"/>
    <w:rsid w:val="00E33E39"/>
    <w:rsid w:val="00E33F5F"/>
    <w:rsid w:val="00E34164"/>
    <w:rsid w:val="00E352BA"/>
    <w:rsid w:val="00E355A1"/>
    <w:rsid w:val="00E35AD2"/>
    <w:rsid w:val="00E36096"/>
    <w:rsid w:val="00E37BA0"/>
    <w:rsid w:val="00E40032"/>
    <w:rsid w:val="00E408B5"/>
    <w:rsid w:val="00E40FDD"/>
    <w:rsid w:val="00E41248"/>
    <w:rsid w:val="00E4124B"/>
    <w:rsid w:val="00E41C87"/>
    <w:rsid w:val="00E41CB1"/>
    <w:rsid w:val="00E4221D"/>
    <w:rsid w:val="00E42464"/>
    <w:rsid w:val="00E430B7"/>
    <w:rsid w:val="00E433C8"/>
    <w:rsid w:val="00E4439F"/>
    <w:rsid w:val="00E44D19"/>
    <w:rsid w:val="00E45BCD"/>
    <w:rsid w:val="00E46A76"/>
    <w:rsid w:val="00E46CC0"/>
    <w:rsid w:val="00E46E38"/>
    <w:rsid w:val="00E5080F"/>
    <w:rsid w:val="00E50BC6"/>
    <w:rsid w:val="00E51002"/>
    <w:rsid w:val="00E51BF2"/>
    <w:rsid w:val="00E51CFE"/>
    <w:rsid w:val="00E53AE1"/>
    <w:rsid w:val="00E53C99"/>
    <w:rsid w:val="00E54A01"/>
    <w:rsid w:val="00E54BE2"/>
    <w:rsid w:val="00E5567B"/>
    <w:rsid w:val="00E55FE1"/>
    <w:rsid w:val="00E5681C"/>
    <w:rsid w:val="00E56A81"/>
    <w:rsid w:val="00E5764E"/>
    <w:rsid w:val="00E578DC"/>
    <w:rsid w:val="00E57C6F"/>
    <w:rsid w:val="00E61476"/>
    <w:rsid w:val="00E62934"/>
    <w:rsid w:val="00E639E9"/>
    <w:rsid w:val="00E63A16"/>
    <w:rsid w:val="00E63E11"/>
    <w:rsid w:val="00E64004"/>
    <w:rsid w:val="00E64096"/>
    <w:rsid w:val="00E64C3A"/>
    <w:rsid w:val="00E65734"/>
    <w:rsid w:val="00E65783"/>
    <w:rsid w:val="00E65C60"/>
    <w:rsid w:val="00E65EC7"/>
    <w:rsid w:val="00E66597"/>
    <w:rsid w:val="00E66945"/>
    <w:rsid w:val="00E66EE6"/>
    <w:rsid w:val="00E678AD"/>
    <w:rsid w:val="00E708EA"/>
    <w:rsid w:val="00E70C09"/>
    <w:rsid w:val="00E71A6D"/>
    <w:rsid w:val="00E7259B"/>
    <w:rsid w:val="00E725C0"/>
    <w:rsid w:val="00E726D5"/>
    <w:rsid w:val="00E73CF2"/>
    <w:rsid w:val="00E740FA"/>
    <w:rsid w:val="00E74C33"/>
    <w:rsid w:val="00E74E00"/>
    <w:rsid w:val="00E75790"/>
    <w:rsid w:val="00E75942"/>
    <w:rsid w:val="00E75990"/>
    <w:rsid w:val="00E75CA4"/>
    <w:rsid w:val="00E764C9"/>
    <w:rsid w:val="00E76621"/>
    <w:rsid w:val="00E76EAD"/>
    <w:rsid w:val="00E775B3"/>
    <w:rsid w:val="00E77712"/>
    <w:rsid w:val="00E77E55"/>
    <w:rsid w:val="00E80298"/>
    <w:rsid w:val="00E80410"/>
    <w:rsid w:val="00E80910"/>
    <w:rsid w:val="00E809A0"/>
    <w:rsid w:val="00E80C20"/>
    <w:rsid w:val="00E80DDD"/>
    <w:rsid w:val="00E80F39"/>
    <w:rsid w:val="00E813E6"/>
    <w:rsid w:val="00E818E0"/>
    <w:rsid w:val="00E818E2"/>
    <w:rsid w:val="00E81BE7"/>
    <w:rsid w:val="00E81EA0"/>
    <w:rsid w:val="00E83112"/>
    <w:rsid w:val="00E83647"/>
    <w:rsid w:val="00E83686"/>
    <w:rsid w:val="00E83DB9"/>
    <w:rsid w:val="00E84434"/>
    <w:rsid w:val="00E84565"/>
    <w:rsid w:val="00E84FBA"/>
    <w:rsid w:val="00E8594C"/>
    <w:rsid w:val="00E859E6"/>
    <w:rsid w:val="00E85CC3"/>
    <w:rsid w:val="00E86198"/>
    <w:rsid w:val="00E86508"/>
    <w:rsid w:val="00E8652F"/>
    <w:rsid w:val="00E86723"/>
    <w:rsid w:val="00E86833"/>
    <w:rsid w:val="00E86A11"/>
    <w:rsid w:val="00E87371"/>
    <w:rsid w:val="00E90A31"/>
    <w:rsid w:val="00E91DB3"/>
    <w:rsid w:val="00E929DA"/>
    <w:rsid w:val="00E92BE6"/>
    <w:rsid w:val="00E9384D"/>
    <w:rsid w:val="00E94025"/>
    <w:rsid w:val="00E94759"/>
    <w:rsid w:val="00E947C6"/>
    <w:rsid w:val="00E9709D"/>
    <w:rsid w:val="00E9772F"/>
    <w:rsid w:val="00E97971"/>
    <w:rsid w:val="00EA03DC"/>
    <w:rsid w:val="00EA046C"/>
    <w:rsid w:val="00EA07E0"/>
    <w:rsid w:val="00EA0A54"/>
    <w:rsid w:val="00EA15ED"/>
    <w:rsid w:val="00EA16B2"/>
    <w:rsid w:val="00EA1A06"/>
    <w:rsid w:val="00EA1FB6"/>
    <w:rsid w:val="00EA2684"/>
    <w:rsid w:val="00EA2836"/>
    <w:rsid w:val="00EA29B0"/>
    <w:rsid w:val="00EA3301"/>
    <w:rsid w:val="00EA373D"/>
    <w:rsid w:val="00EA3761"/>
    <w:rsid w:val="00EA39F6"/>
    <w:rsid w:val="00EA445F"/>
    <w:rsid w:val="00EA46A5"/>
    <w:rsid w:val="00EA49F3"/>
    <w:rsid w:val="00EA52B7"/>
    <w:rsid w:val="00EA59C1"/>
    <w:rsid w:val="00EA5E95"/>
    <w:rsid w:val="00EA63C1"/>
    <w:rsid w:val="00EA67E8"/>
    <w:rsid w:val="00EA6BE5"/>
    <w:rsid w:val="00EA7492"/>
    <w:rsid w:val="00EB0222"/>
    <w:rsid w:val="00EB0ACF"/>
    <w:rsid w:val="00EB21E5"/>
    <w:rsid w:val="00EB2772"/>
    <w:rsid w:val="00EB32C7"/>
    <w:rsid w:val="00EB52C0"/>
    <w:rsid w:val="00EB5757"/>
    <w:rsid w:val="00EB59B5"/>
    <w:rsid w:val="00EB6436"/>
    <w:rsid w:val="00EB691F"/>
    <w:rsid w:val="00EB7BAD"/>
    <w:rsid w:val="00EB7BDA"/>
    <w:rsid w:val="00EB7F82"/>
    <w:rsid w:val="00EB7F8E"/>
    <w:rsid w:val="00EC0521"/>
    <w:rsid w:val="00EC1DD4"/>
    <w:rsid w:val="00EC27BD"/>
    <w:rsid w:val="00EC29FA"/>
    <w:rsid w:val="00EC2CED"/>
    <w:rsid w:val="00EC2FE0"/>
    <w:rsid w:val="00EC3F02"/>
    <w:rsid w:val="00EC40AD"/>
    <w:rsid w:val="00EC4186"/>
    <w:rsid w:val="00EC46B9"/>
    <w:rsid w:val="00EC4917"/>
    <w:rsid w:val="00EC4B1E"/>
    <w:rsid w:val="00EC4D12"/>
    <w:rsid w:val="00EC5285"/>
    <w:rsid w:val="00EC5741"/>
    <w:rsid w:val="00EC5785"/>
    <w:rsid w:val="00EC76D0"/>
    <w:rsid w:val="00EC7FFC"/>
    <w:rsid w:val="00ED051D"/>
    <w:rsid w:val="00ED05C8"/>
    <w:rsid w:val="00ED1F52"/>
    <w:rsid w:val="00ED1FE5"/>
    <w:rsid w:val="00ED25E3"/>
    <w:rsid w:val="00ED29FC"/>
    <w:rsid w:val="00ED31FC"/>
    <w:rsid w:val="00ED35AC"/>
    <w:rsid w:val="00ED4AC6"/>
    <w:rsid w:val="00ED4CD1"/>
    <w:rsid w:val="00ED5164"/>
    <w:rsid w:val="00ED60AB"/>
    <w:rsid w:val="00ED6A84"/>
    <w:rsid w:val="00ED6BAE"/>
    <w:rsid w:val="00EE01B2"/>
    <w:rsid w:val="00EE0366"/>
    <w:rsid w:val="00EE038B"/>
    <w:rsid w:val="00EE094E"/>
    <w:rsid w:val="00EE0B29"/>
    <w:rsid w:val="00EE1361"/>
    <w:rsid w:val="00EE15E0"/>
    <w:rsid w:val="00EE1C85"/>
    <w:rsid w:val="00EE2596"/>
    <w:rsid w:val="00EE346D"/>
    <w:rsid w:val="00EE45D9"/>
    <w:rsid w:val="00EE475B"/>
    <w:rsid w:val="00EE5412"/>
    <w:rsid w:val="00EE5523"/>
    <w:rsid w:val="00EE55EE"/>
    <w:rsid w:val="00EE5AB0"/>
    <w:rsid w:val="00EE5E09"/>
    <w:rsid w:val="00EE653A"/>
    <w:rsid w:val="00EE6B76"/>
    <w:rsid w:val="00EE6F50"/>
    <w:rsid w:val="00EE75E4"/>
    <w:rsid w:val="00EE7674"/>
    <w:rsid w:val="00EE76A6"/>
    <w:rsid w:val="00EE7FB2"/>
    <w:rsid w:val="00EF055C"/>
    <w:rsid w:val="00EF08C9"/>
    <w:rsid w:val="00EF09CC"/>
    <w:rsid w:val="00EF0C1E"/>
    <w:rsid w:val="00EF0ED5"/>
    <w:rsid w:val="00EF1126"/>
    <w:rsid w:val="00EF1240"/>
    <w:rsid w:val="00EF14A7"/>
    <w:rsid w:val="00EF287D"/>
    <w:rsid w:val="00EF2AF1"/>
    <w:rsid w:val="00EF2D77"/>
    <w:rsid w:val="00EF35AA"/>
    <w:rsid w:val="00EF366E"/>
    <w:rsid w:val="00EF3754"/>
    <w:rsid w:val="00EF432A"/>
    <w:rsid w:val="00EF489E"/>
    <w:rsid w:val="00EF5421"/>
    <w:rsid w:val="00EF612F"/>
    <w:rsid w:val="00EF692A"/>
    <w:rsid w:val="00EF6BEE"/>
    <w:rsid w:val="00EF7B9A"/>
    <w:rsid w:val="00F000A6"/>
    <w:rsid w:val="00F00188"/>
    <w:rsid w:val="00F00D48"/>
    <w:rsid w:val="00F0111D"/>
    <w:rsid w:val="00F021CF"/>
    <w:rsid w:val="00F0258E"/>
    <w:rsid w:val="00F0272D"/>
    <w:rsid w:val="00F02CA5"/>
    <w:rsid w:val="00F0309A"/>
    <w:rsid w:val="00F031F6"/>
    <w:rsid w:val="00F03694"/>
    <w:rsid w:val="00F037CB"/>
    <w:rsid w:val="00F03AAE"/>
    <w:rsid w:val="00F04275"/>
    <w:rsid w:val="00F047F6"/>
    <w:rsid w:val="00F04A00"/>
    <w:rsid w:val="00F0518E"/>
    <w:rsid w:val="00F05A74"/>
    <w:rsid w:val="00F06058"/>
    <w:rsid w:val="00F06476"/>
    <w:rsid w:val="00F06E70"/>
    <w:rsid w:val="00F06F65"/>
    <w:rsid w:val="00F07318"/>
    <w:rsid w:val="00F07457"/>
    <w:rsid w:val="00F107D6"/>
    <w:rsid w:val="00F11365"/>
    <w:rsid w:val="00F11A2F"/>
    <w:rsid w:val="00F1278A"/>
    <w:rsid w:val="00F12BE5"/>
    <w:rsid w:val="00F13346"/>
    <w:rsid w:val="00F13528"/>
    <w:rsid w:val="00F13FF1"/>
    <w:rsid w:val="00F14AEC"/>
    <w:rsid w:val="00F14D49"/>
    <w:rsid w:val="00F15004"/>
    <w:rsid w:val="00F1572A"/>
    <w:rsid w:val="00F15F79"/>
    <w:rsid w:val="00F16A32"/>
    <w:rsid w:val="00F171CB"/>
    <w:rsid w:val="00F172E2"/>
    <w:rsid w:val="00F2038B"/>
    <w:rsid w:val="00F214B7"/>
    <w:rsid w:val="00F216CE"/>
    <w:rsid w:val="00F21869"/>
    <w:rsid w:val="00F21B7F"/>
    <w:rsid w:val="00F21EDC"/>
    <w:rsid w:val="00F2413C"/>
    <w:rsid w:val="00F2451C"/>
    <w:rsid w:val="00F24F65"/>
    <w:rsid w:val="00F25F25"/>
    <w:rsid w:val="00F26E96"/>
    <w:rsid w:val="00F270C9"/>
    <w:rsid w:val="00F27955"/>
    <w:rsid w:val="00F27A14"/>
    <w:rsid w:val="00F30042"/>
    <w:rsid w:val="00F30231"/>
    <w:rsid w:val="00F30281"/>
    <w:rsid w:val="00F30441"/>
    <w:rsid w:val="00F30A98"/>
    <w:rsid w:val="00F3115F"/>
    <w:rsid w:val="00F319DC"/>
    <w:rsid w:val="00F31E85"/>
    <w:rsid w:val="00F323B1"/>
    <w:rsid w:val="00F33891"/>
    <w:rsid w:val="00F33A5D"/>
    <w:rsid w:val="00F33CEB"/>
    <w:rsid w:val="00F352E4"/>
    <w:rsid w:val="00F36D27"/>
    <w:rsid w:val="00F36EB8"/>
    <w:rsid w:val="00F3726B"/>
    <w:rsid w:val="00F405C0"/>
    <w:rsid w:val="00F409AE"/>
    <w:rsid w:val="00F41617"/>
    <w:rsid w:val="00F41DF7"/>
    <w:rsid w:val="00F41F96"/>
    <w:rsid w:val="00F42325"/>
    <w:rsid w:val="00F43873"/>
    <w:rsid w:val="00F438D9"/>
    <w:rsid w:val="00F43B15"/>
    <w:rsid w:val="00F448D0"/>
    <w:rsid w:val="00F44D80"/>
    <w:rsid w:val="00F4502E"/>
    <w:rsid w:val="00F452B4"/>
    <w:rsid w:val="00F457E3"/>
    <w:rsid w:val="00F45D1B"/>
    <w:rsid w:val="00F45F40"/>
    <w:rsid w:val="00F46AE2"/>
    <w:rsid w:val="00F46CD6"/>
    <w:rsid w:val="00F47968"/>
    <w:rsid w:val="00F47A90"/>
    <w:rsid w:val="00F50E70"/>
    <w:rsid w:val="00F51194"/>
    <w:rsid w:val="00F5231C"/>
    <w:rsid w:val="00F53362"/>
    <w:rsid w:val="00F53584"/>
    <w:rsid w:val="00F536B5"/>
    <w:rsid w:val="00F542A7"/>
    <w:rsid w:val="00F54868"/>
    <w:rsid w:val="00F54C87"/>
    <w:rsid w:val="00F54D4D"/>
    <w:rsid w:val="00F54E16"/>
    <w:rsid w:val="00F55021"/>
    <w:rsid w:val="00F55135"/>
    <w:rsid w:val="00F5581F"/>
    <w:rsid w:val="00F55968"/>
    <w:rsid w:val="00F5680C"/>
    <w:rsid w:val="00F56AB5"/>
    <w:rsid w:val="00F56AE1"/>
    <w:rsid w:val="00F56CCC"/>
    <w:rsid w:val="00F5722A"/>
    <w:rsid w:val="00F57610"/>
    <w:rsid w:val="00F57983"/>
    <w:rsid w:val="00F60392"/>
    <w:rsid w:val="00F60493"/>
    <w:rsid w:val="00F6053A"/>
    <w:rsid w:val="00F605A9"/>
    <w:rsid w:val="00F60B7A"/>
    <w:rsid w:val="00F60FDC"/>
    <w:rsid w:val="00F61B2F"/>
    <w:rsid w:val="00F61FFC"/>
    <w:rsid w:val="00F62054"/>
    <w:rsid w:val="00F62363"/>
    <w:rsid w:val="00F624B0"/>
    <w:rsid w:val="00F627EA"/>
    <w:rsid w:val="00F62F5E"/>
    <w:rsid w:val="00F6390E"/>
    <w:rsid w:val="00F63C69"/>
    <w:rsid w:val="00F63D42"/>
    <w:rsid w:val="00F643D4"/>
    <w:rsid w:val="00F650AF"/>
    <w:rsid w:val="00F65740"/>
    <w:rsid w:val="00F657DB"/>
    <w:rsid w:val="00F66195"/>
    <w:rsid w:val="00F66CC3"/>
    <w:rsid w:val="00F672F6"/>
    <w:rsid w:val="00F67323"/>
    <w:rsid w:val="00F70148"/>
    <w:rsid w:val="00F703D6"/>
    <w:rsid w:val="00F710BC"/>
    <w:rsid w:val="00F7320A"/>
    <w:rsid w:val="00F733FE"/>
    <w:rsid w:val="00F7359E"/>
    <w:rsid w:val="00F73987"/>
    <w:rsid w:val="00F7439C"/>
    <w:rsid w:val="00F7452B"/>
    <w:rsid w:val="00F7544A"/>
    <w:rsid w:val="00F75A35"/>
    <w:rsid w:val="00F75D4B"/>
    <w:rsid w:val="00F76881"/>
    <w:rsid w:val="00F768CD"/>
    <w:rsid w:val="00F7697F"/>
    <w:rsid w:val="00F773EC"/>
    <w:rsid w:val="00F77965"/>
    <w:rsid w:val="00F77DD2"/>
    <w:rsid w:val="00F800F8"/>
    <w:rsid w:val="00F802CA"/>
    <w:rsid w:val="00F80303"/>
    <w:rsid w:val="00F803C4"/>
    <w:rsid w:val="00F80631"/>
    <w:rsid w:val="00F81005"/>
    <w:rsid w:val="00F81205"/>
    <w:rsid w:val="00F81583"/>
    <w:rsid w:val="00F81EB6"/>
    <w:rsid w:val="00F820BF"/>
    <w:rsid w:val="00F83198"/>
    <w:rsid w:val="00F8319E"/>
    <w:rsid w:val="00F83791"/>
    <w:rsid w:val="00F83E11"/>
    <w:rsid w:val="00F85436"/>
    <w:rsid w:val="00F8624D"/>
    <w:rsid w:val="00F86688"/>
    <w:rsid w:val="00F866CE"/>
    <w:rsid w:val="00F87F6D"/>
    <w:rsid w:val="00F90EAF"/>
    <w:rsid w:val="00F91CF6"/>
    <w:rsid w:val="00F92DCD"/>
    <w:rsid w:val="00F92DFD"/>
    <w:rsid w:val="00F92F23"/>
    <w:rsid w:val="00F94350"/>
    <w:rsid w:val="00F94612"/>
    <w:rsid w:val="00F9489F"/>
    <w:rsid w:val="00F948B7"/>
    <w:rsid w:val="00F949F6"/>
    <w:rsid w:val="00F95C4D"/>
    <w:rsid w:val="00F97F31"/>
    <w:rsid w:val="00F97FCE"/>
    <w:rsid w:val="00FA0154"/>
    <w:rsid w:val="00FA114F"/>
    <w:rsid w:val="00FA1C89"/>
    <w:rsid w:val="00FA2CB8"/>
    <w:rsid w:val="00FA3852"/>
    <w:rsid w:val="00FA3DEE"/>
    <w:rsid w:val="00FA3E75"/>
    <w:rsid w:val="00FA4529"/>
    <w:rsid w:val="00FA49B5"/>
    <w:rsid w:val="00FA4B1D"/>
    <w:rsid w:val="00FA54CA"/>
    <w:rsid w:val="00FA5852"/>
    <w:rsid w:val="00FA5955"/>
    <w:rsid w:val="00FA5B46"/>
    <w:rsid w:val="00FB0B69"/>
    <w:rsid w:val="00FB0D06"/>
    <w:rsid w:val="00FB138E"/>
    <w:rsid w:val="00FB1A8B"/>
    <w:rsid w:val="00FB1ABF"/>
    <w:rsid w:val="00FB2437"/>
    <w:rsid w:val="00FB2CD3"/>
    <w:rsid w:val="00FB35D5"/>
    <w:rsid w:val="00FB3933"/>
    <w:rsid w:val="00FB3C5D"/>
    <w:rsid w:val="00FB3CCF"/>
    <w:rsid w:val="00FB3F2B"/>
    <w:rsid w:val="00FB4468"/>
    <w:rsid w:val="00FB47BE"/>
    <w:rsid w:val="00FB4C85"/>
    <w:rsid w:val="00FB4DF9"/>
    <w:rsid w:val="00FB50EE"/>
    <w:rsid w:val="00FB58D8"/>
    <w:rsid w:val="00FB6949"/>
    <w:rsid w:val="00FB7255"/>
    <w:rsid w:val="00FB73A8"/>
    <w:rsid w:val="00FB749C"/>
    <w:rsid w:val="00FB7BA5"/>
    <w:rsid w:val="00FB7DAD"/>
    <w:rsid w:val="00FC05EF"/>
    <w:rsid w:val="00FC063D"/>
    <w:rsid w:val="00FC0B58"/>
    <w:rsid w:val="00FC260A"/>
    <w:rsid w:val="00FC3623"/>
    <w:rsid w:val="00FC3745"/>
    <w:rsid w:val="00FC4AB4"/>
    <w:rsid w:val="00FC5073"/>
    <w:rsid w:val="00FC5421"/>
    <w:rsid w:val="00FC5CF2"/>
    <w:rsid w:val="00FC5DB9"/>
    <w:rsid w:val="00FC625D"/>
    <w:rsid w:val="00FC64F5"/>
    <w:rsid w:val="00FC752B"/>
    <w:rsid w:val="00FC7699"/>
    <w:rsid w:val="00FC7908"/>
    <w:rsid w:val="00FC7AF9"/>
    <w:rsid w:val="00FD0921"/>
    <w:rsid w:val="00FD0C27"/>
    <w:rsid w:val="00FD1754"/>
    <w:rsid w:val="00FD1FC4"/>
    <w:rsid w:val="00FD35D2"/>
    <w:rsid w:val="00FD391C"/>
    <w:rsid w:val="00FD3BAF"/>
    <w:rsid w:val="00FD3DB7"/>
    <w:rsid w:val="00FD4F29"/>
    <w:rsid w:val="00FD4F9C"/>
    <w:rsid w:val="00FD5ABB"/>
    <w:rsid w:val="00FD5D52"/>
    <w:rsid w:val="00FD639E"/>
    <w:rsid w:val="00FD6769"/>
    <w:rsid w:val="00FE00CB"/>
    <w:rsid w:val="00FE01C0"/>
    <w:rsid w:val="00FE0944"/>
    <w:rsid w:val="00FE09A8"/>
    <w:rsid w:val="00FE0D3B"/>
    <w:rsid w:val="00FE0E34"/>
    <w:rsid w:val="00FE1614"/>
    <w:rsid w:val="00FE213D"/>
    <w:rsid w:val="00FE2461"/>
    <w:rsid w:val="00FE24DE"/>
    <w:rsid w:val="00FE26CC"/>
    <w:rsid w:val="00FE2AC8"/>
    <w:rsid w:val="00FE2CE6"/>
    <w:rsid w:val="00FE3018"/>
    <w:rsid w:val="00FE30AB"/>
    <w:rsid w:val="00FE3B5D"/>
    <w:rsid w:val="00FE420A"/>
    <w:rsid w:val="00FE4606"/>
    <w:rsid w:val="00FE4DA6"/>
    <w:rsid w:val="00FE5699"/>
    <w:rsid w:val="00FE6072"/>
    <w:rsid w:val="00FE657A"/>
    <w:rsid w:val="00FE6D78"/>
    <w:rsid w:val="00FE7240"/>
    <w:rsid w:val="00FE7AB9"/>
    <w:rsid w:val="00FF040B"/>
    <w:rsid w:val="00FF0CC1"/>
    <w:rsid w:val="00FF2016"/>
    <w:rsid w:val="00FF21FE"/>
    <w:rsid w:val="00FF2498"/>
    <w:rsid w:val="00FF29E7"/>
    <w:rsid w:val="00FF32AB"/>
    <w:rsid w:val="00FF39FD"/>
    <w:rsid w:val="00FF3C57"/>
    <w:rsid w:val="00FF4124"/>
    <w:rsid w:val="00FF451F"/>
    <w:rsid w:val="00FF49DE"/>
    <w:rsid w:val="00FF4C90"/>
    <w:rsid w:val="00FF4CFA"/>
    <w:rsid w:val="00FF553B"/>
    <w:rsid w:val="00FF58B2"/>
    <w:rsid w:val="00FF633B"/>
    <w:rsid w:val="00FF68DE"/>
    <w:rsid w:val="00FF6BD3"/>
    <w:rsid w:val="00FF6DD3"/>
    <w:rsid w:val="00FF7250"/>
    <w:rsid w:val="00FF75CD"/>
    <w:rsid w:val="00FF7920"/>
    <w:rsid w:val="00FF7E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63EA0E88"/>
  <w15:docId w15:val="{1D492EC8-7D17-474B-A07F-1DCFE503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2F"/>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1"/>
    <w:next w:val="Pamatteksts1"/>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1"/>
    <w:next w:val="Pamatteksts1"/>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aliases w:val="2,Akapit z listą BS,H&amp;P List Paragraph,Strip"/>
    <w:basedOn w:val="Normal"/>
    <w:link w:val="ListParagraphChar"/>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1"/>
      </w:numPr>
    </w:pPr>
  </w:style>
  <w:style w:type="paragraph" w:styleId="Header">
    <w:name w:val="header"/>
    <w:link w:val="Head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rsid w:val="00D55AB4"/>
    <w:rPr>
      <w:rFonts w:ascii="Times New Roman" w:eastAsia="Times New Roman" w:hAnsi="Times New Roman" w:cs="Times New Roman"/>
      <w:sz w:val="20"/>
      <w:szCs w:val="24"/>
      <w:lang w:eastAsia="lv-LV"/>
    </w:rPr>
  </w:style>
  <w:style w:type="paragraph" w:styleId="Footer">
    <w:name w:val="footer"/>
    <w:link w:val="Foot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
      </w:numPr>
    </w:pPr>
  </w:style>
  <w:style w:type="numbering" w:customStyle="1" w:styleId="StyleOutlinenumberedLeft0cmHanging063cm">
    <w:name w:val="Style Outline numbered Left:  0 cm Hanging:  0.63 cm"/>
    <w:basedOn w:val="NoList"/>
    <w:rsid w:val="00D55AB4"/>
    <w:pPr>
      <w:numPr>
        <w:numId w:val="3"/>
      </w:numPr>
    </w:pPr>
  </w:style>
  <w:style w:type="numbering" w:customStyle="1" w:styleId="StyleOutlinenumberedLeft0cmHanging063cm1">
    <w:name w:val="Style Outline numbered Left:  0 cm Hanging:  0.63 cm1"/>
    <w:basedOn w:val="NoList"/>
    <w:rsid w:val="00D55AB4"/>
    <w:pPr>
      <w:numPr>
        <w:numId w:val="4"/>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1">
    <w:name w:val="Pamatteksts1"/>
    <w:qFormat/>
    <w:rsid w:val="003E619E"/>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ullets">
    <w:name w:val="Bullets"/>
    <w:basedOn w:val="Pamatteksts1"/>
    <w:next w:val="Pamatteksts1"/>
    <w:qFormat/>
    <w:rsid w:val="004F0656"/>
    <w:pPr>
      <w:numPr>
        <w:numId w:val="5"/>
      </w:numPr>
    </w:pPr>
  </w:style>
  <w:style w:type="character" w:styleId="CommentReference">
    <w:name w:val="annotation reference"/>
    <w:basedOn w:val="DefaultParagraphFont"/>
    <w:uiPriority w:val="99"/>
    <w:semiHidden/>
    <w:unhideWhenUsed/>
    <w:rsid w:val="00EF35AA"/>
    <w:rPr>
      <w:sz w:val="16"/>
      <w:szCs w:val="16"/>
    </w:rPr>
  </w:style>
  <w:style w:type="paragraph" w:styleId="BodyTextIndent2">
    <w:name w:val="Body Text Indent 2"/>
    <w:basedOn w:val="Normal"/>
    <w:link w:val="BodyTextIndent2Char"/>
    <w:semiHidden/>
    <w:rsid w:val="001E082A"/>
    <w:pPr>
      <w:spacing w:after="0"/>
      <w:ind w:firstLine="540"/>
    </w:pPr>
    <w:rPr>
      <w:color w:val="800080"/>
      <w:lang w:eastAsia="en-US"/>
    </w:rPr>
  </w:style>
  <w:style w:type="character" w:customStyle="1" w:styleId="BodyTextIndent2Char">
    <w:name w:val="Body Text Indent 2 Char"/>
    <w:basedOn w:val="DefaultParagraphFont"/>
    <w:link w:val="BodyTextIndent2"/>
    <w:semiHidden/>
    <w:rsid w:val="001E082A"/>
    <w:rPr>
      <w:rFonts w:ascii="Times New Roman" w:eastAsia="Times New Roman" w:hAnsi="Times New Roman" w:cs="Times New Roman"/>
      <w:color w:val="800080"/>
      <w:sz w:val="24"/>
      <w:szCs w:val="24"/>
    </w:rPr>
  </w:style>
  <w:style w:type="paragraph" w:styleId="BalloonText">
    <w:name w:val="Balloon Text"/>
    <w:basedOn w:val="Normal"/>
    <w:link w:val="BalloonTextChar"/>
    <w:semiHidden/>
    <w:unhideWhenUsed/>
    <w:rsid w:val="007A09E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7A09E6"/>
    <w:rPr>
      <w:rFonts w:ascii="Tahoma" w:eastAsia="Times New Roman" w:hAnsi="Tahoma" w:cs="Tahoma"/>
      <w:sz w:val="16"/>
      <w:szCs w:val="16"/>
      <w:lang w:eastAsia="lv-LV"/>
    </w:rPr>
  </w:style>
  <w:style w:type="paragraph" w:styleId="CommentText">
    <w:name w:val="annotation text"/>
    <w:basedOn w:val="Normal"/>
    <w:link w:val="CommentTextChar"/>
    <w:uiPriority w:val="99"/>
    <w:unhideWhenUsed/>
    <w:rsid w:val="00EF35AA"/>
    <w:rPr>
      <w:sz w:val="20"/>
      <w:szCs w:val="20"/>
    </w:rPr>
  </w:style>
  <w:style w:type="paragraph" w:styleId="BodyTextIndent">
    <w:name w:val="Body Text Indent"/>
    <w:basedOn w:val="Normal"/>
    <w:link w:val="BodyTextIndentChar"/>
    <w:uiPriority w:val="99"/>
    <w:unhideWhenUsed/>
    <w:rsid w:val="0099580E"/>
    <w:pPr>
      <w:ind w:left="283"/>
    </w:pPr>
  </w:style>
  <w:style w:type="character" w:customStyle="1" w:styleId="BodyTextIndentChar">
    <w:name w:val="Body Text Indent Char"/>
    <w:basedOn w:val="DefaultParagraphFont"/>
    <w:link w:val="BodyTextIndent"/>
    <w:uiPriority w:val="99"/>
    <w:rsid w:val="0099580E"/>
    <w:rPr>
      <w:rFonts w:ascii="Times New Roman" w:eastAsia="Times New Roman" w:hAnsi="Times New Roman" w:cs="Times New Roman"/>
      <w:sz w:val="24"/>
      <w:szCs w:val="24"/>
      <w:lang w:eastAsia="lv-LV"/>
    </w:rPr>
  </w:style>
  <w:style w:type="character" w:customStyle="1" w:styleId="CommentTextChar">
    <w:name w:val="Comment Text Char"/>
    <w:basedOn w:val="DefaultParagraphFont"/>
    <w:link w:val="CommentText"/>
    <w:uiPriority w:val="99"/>
    <w:rsid w:val="00EF35A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EF35AA"/>
    <w:rPr>
      <w:b/>
      <w:bCs/>
    </w:rPr>
  </w:style>
  <w:style w:type="character" w:customStyle="1" w:styleId="CommentSubjectChar">
    <w:name w:val="Comment Subject Char"/>
    <w:basedOn w:val="CommentTextChar"/>
    <w:link w:val="CommentSubject"/>
    <w:semiHidden/>
    <w:rsid w:val="00EF35AA"/>
    <w:rPr>
      <w:rFonts w:ascii="Times New Roman" w:eastAsia="Times New Roman" w:hAnsi="Times New Roman" w:cs="Times New Roman"/>
      <w:b/>
      <w:bCs/>
      <w:sz w:val="20"/>
      <w:szCs w:val="20"/>
      <w:lang w:eastAsia="lv-LV"/>
    </w:rPr>
  </w:style>
  <w:style w:type="paragraph" w:styleId="PlainText">
    <w:name w:val="Plain Text"/>
    <w:basedOn w:val="Normal"/>
    <w:link w:val="PlainTextChar"/>
    <w:uiPriority w:val="99"/>
    <w:unhideWhenUsed/>
    <w:rsid w:val="00EC4D12"/>
    <w:pPr>
      <w:spacing w:after="0"/>
      <w:ind w:firstLine="0"/>
      <w:jc w:val="left"/>
    </w:pPr>
    <w:rPr>
      <w:rFonts w:ascii="Consolas" w:hAnsi="Consolas"/>
      <w:sz w:val="21"/>
      <w:szCs w:val="21"/>
      <w:lang w:eastAsia="en-US"/>
    </w:rPr>
  </w:style>
  <w:style w:type="character" w:customStyle="1" w:styleId="PlainTextChar">
    <w:name w:val="Plain Text Char"/>
    <w:basedOn w:val="DefaultParagraphFont"/>
    <w:link w:val="PlainText"/>
    <w:uiPriority w:val="99"/>
    <w:rsid w:val="00EC4D12"/>
    <w:rPr>
      <w:rFonts w:ascii="Consolas" w:eastAsia="Times New Roman" w:hAnsi="Consolas" w:cs="Times New Roman"/>
      <w:sz w:val="21"/>
      <w:szCs w:val="21"/>
    </w:rPr>
  </w:style>
  <w:style w:type="paragraph" w:customStyle="1" w:styleId="Default">
    <w:name w:val="Default"/>
    <w:rsid w:val="00937EA1"/>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07FC9"/>
    <w:rPr>
      <w:b/>
      <w:bCs/>
    </w:rPr>
  </w:style>
  <w:style w:type="paragraph" w:styleId="NormalWeb">
    <w:name w:val="Normal (Web)"/>
    <w:basedOn w:val="Normal"/>
    <w:uiPriority w:val="99"/>
    <w:unhideWhenUsed/>
    <w:rsid w:val="00135E39"/>
    <w:pPr>
      <w:spacing w:before="100" w:beforeAutospacing="1" w:after="100" w:afterAutospacing="1"/>
      <w:ind w:firstLine="0"/>
      <w:jc w:val="left"/>
    </w:pPr>
  </w:style>
  <w:style w:type="character" w:customStyle="1" w:styleId="tvhtml">
    <w:name w:val="tv_html"/>
    <w:basedOn w:val="DefaultParagraphFont"/>
    <w:rsid w:val="003E04DD"/>
  </w:style>
  <w:style w:type="paragraph" w:styleId="BodyText2">
    <w:name w:val="Body Text 2"/>
    <w:basedOn w:val="Normal"/>
    <w:link w:val="BodyText2Char"/>
    <w:unhideWhenUsed/>
    <w:rsid w:val="0086045F"/>
    <w:pPr>
      <w:spacing w:line="480" w:lineRule="auto"/>
    </w:pPr>
  </w:style>
  <w:style w:type="character" w:customStyle="1" w:styleId="BodyText2Char">
    <w:name w:val="Body Text 2 Char"/>
    <w:basedOn w:val="DefaultParagraphFont"/>
    <w:link w:val="BodyText2"/>
    <w:rsid w:val="0086045F"/>
    <w:rPr>
      <w:rFonts w:ascii="Times New Roman" w:eastAsia="Times New Roman" w:hAnsi="Times New Roman" w:cs="Times New Roman"/>
      <w:sz w:val="24"/>
      <w:szCs w:val="24"/>
      <w:lang w:eastAsia="lv-LV"/>
    </w:rPr>
  </w:style>
  <w:style w:type="paragraph" w:customStyle="1" w:styleId="tv2132">
    <w:name w:val="tv2132"/>
    <w:basedOn w:val="Normal"/>
    <w:rsid w:val="001A5D24"/>
    <w:pPr>
      <w:spacing w:after="0" w:line="360" w:lineRule="auto"/>
      <w:ind w:firstLine="300"/>
      <w:jc w:val="left"/>
    </w:pPr>
    <w:rPr>
      <w:color w:val="414142"/>
      <w:sz w:val="20"/>
      <w:szCs w:val="20"/>
    </w:rPr>
  </w:style>
  <w:style w:type="paragraph" w:customStyle="1" w:styleId="CharChar3CharCharCharCharCharCharCharCharCharCharCharChar1">
    <w:name w:val="Char Char3 Char Char Char Char Char Char Char Char Char Char Char Char1"/>
    <w:basedOn w:val="Normal"/>
    <w:semiHidden/>
    <w:rsid w:val="0054182E"/>
    <w:pPr>
      <w:spacing w:after="160" w:line="240" w:lineRule="exact"/>
      <w:ind w:firstLine="720"/>
    </w:pPr>
    <w:rPr>
      <w:rFonts w:ascii="Verdana" w:hAnsi="Verdana"/>
      <w:sz w:val="20"/>
      <w:szCs w:val="20"/>
      <w:lang w:eastAsia="en-US"/>
    </w:rPr>
  </w:style>
  <w:style w:type="character" w:styleId="Emphasis">
    <w:name w:val="Emphasis"/>
    <w:basedOn w:val="DefaultParagraphFont"/>
    <w:uiPriority w:val="20"/>
    <w:qFormat/>
    <w:rsid w:val="00F9489F"/>
    <w:rPr>
      <w:b/>
      <w:bCs/>
      <w:i w:val="0"/>
      <w:iCs w:val="0"/>
    </w:rPr>
  </w:style>
  <w:style w:type="character" w:customStyle="1" w:styleId="st1">
    <w:name w:val="st1"/>
    <w:basedOn w:val="DefaultParagraphFont"/>
    <w:rsid w:val="00F9489F"/>
  </w:style>
  <w:style w:type="paragraph" w:styleId="Revision">
    <w:name w:val="Revision"/>
    <w:hidden/>
    <w:uiPriority w:val="99"/>
    <w:semiHidden/>
    <w:rsid w:val="00D13D6E"/>
    <w:pPr>
      <w:spacing w:after="0" w:line="240" w:lineRule="auto"/>
    </w:pPr>
    <w:rPr>
      <w:rFonts w:ascii="Times New Roman" w:eastAsia="Times New Roman" w:hAnsi="Times New Roman" w:cs="Times New Roman"/>
      <w:sz w:val="24"/>
      <w:szCs w:val="24"/>
      <w:lang w:eastAsia="lv-LV"/>
    </w:rPr>
  </w:style>
  <w:style w:type="character" w:customStyle="1" w:styleId="ListParagraphChar">
    <w:name w:val="List Paragraph Char"/>
    <w:aliases w:val="2 Char,Akapit z listą BS Char,H&amp;P List Paragraph Char,Strip Char"/>
    <w:link w:val="ListParagraph"/>
    <w:uiPriority w:val="34"/>
    <w:locked/>
    <w:rsid w:val="00F21EDC"/>
    <w:rPr>
      <w:rFonts w:ascii="Times New Roman" w:eastAsia="Times New Roman" w:hAnsi="Times New Roman" w:cs="Times New Roman"/>
      <w:sz w:val="24"/>
      <w:szCs w:val="24"/>
      <w:lang w:eastAsia="lv-LV"/>
    </w:rPr>
  </w:style>
  <w:style w:type="paragraph" w:styleId="EndnoteText">
    <w:name w:val="endnote text"/>
    <w:basedOn w:val="Normal"/>
    <w:link w:val="EndnoteTextChar"/>
    <w:uiPriority w:val="99"/>
    <w:semiHidden/>
    <w:unhideWhenUsed/>
    <w:rsid w:val="001926A9"/>
    <w:pPr>
      <w:spacing w:after="0"/>
    </w:pPr>
    <w:rPr>
      <w:sz w:val="20"/>
      <w:szCs w:val="20"/>
    </w:rPr>
  </w:style>
  <w:style w:type="character" w:customStyle="1" w:styleId="EndnoteTextChar">
    <w:name w:val="Endnote Text Char"/>
    <w:basedOn w:val="DefaultParagraphFont"/>
    <w:link w:val="EndnoteText"/>
    <w:uiPriority w:val="99"/>
    <w:semiHidden/>
    <w:rsid w:val="001926A9"/>
    <w:rPr>
      <w:rFonts w:ascii="Times New Roman" w:eastAsia="Times New Roman" w:hAnsi="Times New Roman" w:cs="Times New Roman"/>
      <w:sz w:val="20"/>
      <w:szCs w:val="20"/>
      <w:lang w:eastAsia="lv-LV"/>
    </w:rPr>
  </w:style>
  <w:style w:type="character" w:styleId="EndnoteReference">
    <w:name w:val="endnote reference"/>
    <w:basedOn w:val="DefaultParagraphFont"/>
    <w:uiPriority w:val="99"/>
    <w:semiHidden/>
    <w:unhideWhenUsed/>
    <w:rsid w:val="001926A9"/>
    <w:rPr>
      <w:vertAlign w:val="superscript"/>
    </w:rPr>
  </w:style>
  <w:style w:type="paragraph" w:styleId="FootnoteText">
    <w:name w:val="footnote text"/>
    <w:basedOn w:val="Normal"/>
    <w:link w:val="FootnoteTextChar"/>
    <w:uiPriority w:val="99"/>
    <w:semiHidden/>
    <w:unhideWhenUsed/>
    <w:rsid w:val="001926A9"/>
    <w:pPr>
      <w:spacing w:after="0"/>
    </w:pPr>
    <w:rPr>
      <w:sz w:val="20"/>
      <w:szCs w:val="20"/>
    </w:rPr>
  </w:style>
  <w:style w:type="character" w:customStyle="1" w:styleId="FootnoteTextChar">
    <w:name w:val="Footnote Text Char"/>
    <w:basedOn w:val="DefaultParagraphFont"/>
    <w:link w:val="FootnoteText"/>
    <w:uiPriority w:val="99"/>
    <w:semiHidden/>
    <w:rsid w:val="001926A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1926A9"/>
    <w:rPr>
      <w:vertAlign w:val="superscript"/>
    </w:rPr>
  </w:style>
  <w:style w:type="paragraph" w:styleId="Caption">
    <w:name w:val="caption"/>
    <w:basedOn w:val="Normal"/>
    <w:next w:val="Normal"/>
    <w:unhideWhenUsed/>
    <w:qFormat/>
    <w:rsid w:val="00F5581F"/>
    <w:pPr>
      <w:spacing w:after="200"/>
    </w:pPr>
    <w:rPr>
      <w:i/>
      <w:iCs/>
      <w:color w:val="1F497D" w:themeColor="text2"/>
      <w:sz w:val="18"/>
      <w:szCs w:val="18"/>
    </w:rPr>
  </w:style>
  <w:style w:type="character" w:customStyle="1" w:styleId="ui-provider">
    <w:name w:val="ui-provider"/>
    <w:basedOn w:val="DefaultParagraphFont"/>
    <w:rsid w:val="00134836"/>
  </w:style>
  <w:style w:type="paragraph" w:styleId="BodyText">
    <w:name w:val="Body Text"/>
    <w:basedOn w:val="Normal"/>
    <w:link w:val="BodyTextChar"/>
    <w:uiPriority w:val="99"/>
    <w:unhideWhenUsed/>
    <w:rsid w:val="001929A9"/>
  </w:style>
  <w:style w:type="character" w:customStyle="1" w:styleId="BodyTextChar">
    <w:name w:val="Body Text Char"/>
    <w:basedOn w:val="DefaultParagraphFont"/>
    <w:link w:val="BodyText"/>
    <w:uiPriority w:val="99"/>
    <w:rsid w:val="001929A9"/>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3E2168"/>
    <w:rPr>
      <w:color w:val="808080"/>
    </w:rPr>
  </w:style>
  <w:style w:type="character" w:customStyle="1" w:styleId="normaltextrun">
    <w:name w:val="normaltextrun"/>
    <w:basedOn w:val="DefaultParagraphFont"/>
    <w:rsid w:val="00A9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278">
      <w:bodyDiv w:val="1"/>
      <w:marLeft w:val="0"/>
      <w:marRight w:val="0"/>
      <w:marTop w:val="0"/>
      <w:marBottom w:val="0"/>
      <w:divBdr>
        <w:top w:val="none" w:sz="0" w:space="0" w:color="auto"/>
        <w:left w:val="none" w:sz="0" w:space="0" w:color="auto"/>
        <w:bottom w:val="none" w:sz="0" w:space="0" w:color="auto"/>
        <w:right w:val="none" w:sz="0" w:space="0" w:color="auto"/>
      </w:divBdr>
    </w:div>
    <w:div w:id="18747961">
      <w:bodyDiv w:val="1"/>
      <w:marLeft w:val="0"/>
      <w:marRight w:val="0"/>
      <w:marTop w:val="0"/>
      <w:marBottom w:val="0"/>
      <w:divBdr>
        <w:top w:val="none" w:sz="0" w:space="0" w:color="auto"/>
        <w:left w:val="none" w:sz="0" w:space="0" w:color="auto"/>
        <w:bottom w:val="none" w:sz="0" w:space="0" w:color="auto"/>
        <w:right w:val="none" w:sz="0" w:space="0" w:color="auto"/>
      </w:divBdr>
    </w:div>
    <w:div w:id="22366736">
      <w:bodyDiv w:val="1"/>
      <w:marLeft w:val="0"/>
      <w:marRight w:val="0"/>
      <w:marTop w:val="0"/>
      <w:marBottom w:val="0"/>
      <w:divBdr>
        <w:top w:val="none" w:sz="0" w:space="0" w:color="auto"/>
        <w:left w:val="none" w:sz="0" w:space="0" w:color="auto"/>
        <w:bottom w:val="none" w:sz="0" w:space="0" w:color="auto"/>
        <w:right w:val="none" w:sz="0" w:space="0" w:color="auto"/>
      </w:divBdr>
    </w:div>
    <w:div w:id="27609421">
      <w:bodyDiv w:val="1"/>
      <w:marLeft w:val="0"/>
      <w:marRight w:val="0"/>
      <w:marTop w:val="0"/>
      <w:marBottom w:val="0"/>
      <w:divBdr>
        <w:top w:val="none" w:sz="0" w:space="0" w:color="auto"/>
        <w:left w:val="none" w:sz="0" w:space="0" w:color="auto"/>
        <w:bottom w:val="none" w:sz="0" w:space="0" w:color="auto"/>
        <w:right w:val="none" w:sz="0" w:space="0" w:color="auto"/>
      </w:divBdr>
    </w:div>
    <w:div w:id="35785914">
      <w:bodyDiv w:val="1"/>
      <w:marLeft w:val="0"/>
      <w:marRight w:val="0"/>
      <w:marTop w:val="0"/>
      <w:marBottom w:val="0"/>
      <w:divBdr>
        <w:top w:val="none" w:sz="0" w:space="0" w:color="auto"/>
        <w:left w:val="none" w:sz="0" w:space="0" w:color="auto"/>
        <w:bottom w:val="none" w:sz="0" w:space="0" w:color="auto"/>
        <w:right w:val="none" w:sz="0" w:space="0" w:color="auto"/>
      </w:divBdr>
    </w:div>
    <w:div w:id="46340469">
      <w:bodyDiv w:val="1"/>
      <w:marLeft w:val="0"/>
      <w:marRight w:val="0"/>
      <w:marTop w:val="0"/>
      <w:marBottom w:val="0"/>
      <w:divBdr>
        <w:top w:val="none" w:sz="0" w:space="0" w:color="auto"/>
        <w:left w:val="none" w:sz="0" w:space="0" w:color="auto"/>
        <w:bottom w:val="none" w:sz="0" w:space="0" w:color="auto"/>
        <w:right w:val="none" w:sz="0" w:space="0" w:color="auto"/>
      </w:divBdr>
    </w:div>
    <w:div w:id="116875544">
      <w:bodyDiv w:val="1"/>
      <w:marLeft w:val="0"/>
      <w:marRight w:val="0"/>
      <w:marTop w:val="0"/>
      <w:marBottom w:val="0"/>
      <w:divBdr>
        <w:top w:val="none" w:sz="0" w:space="0" w:color="auto"/>
        <w:left w:val="none" w:sz="0" w:space="0" w:color="auto"/>
        <w:bottom w:val="none" w:sz="0" w:space="0" w:color="auto"/>
        <w:right w:val="none" w:sz="0" w:space="0" w:color="auto"/>
      </w:divBdr>
    </w:div>
    <w:div w:id="139612890">
      <w:bodyDiv w:val="1"/>
      <w:marLeft w:val="0"/>
      <w:marRight w:val="0"/>
      <w:marTop w:val="0"/>
      <w:marBottom w:val="0"/>
      <w:divBdr>
        <w:top w:val="none" w:sz="0" w:space="0" w:color="auto"/>
        <w:left w:val="none" w:sz="0" w:space="0" w:color="auto"/>
        <w:bottom w:val="none" w:sz="0" w:space="0" w:color="auto"/>
        <w:right w:val="none" w:sz="0" w:space="0" w:color="auto"/>
      </w:divBdr>
    </w:div>
    <w:div w:id="154489941">
      <w:bodyDiv w:val="1"/>
      <w:marLeft w:val="0"/>
      <w:marRight w:val="0"/>
      <w:marTop w:val="0"/>
      <w:marBottom w:val="0"/>
      <w:divBdr>
        <w:top w:val="none" w:sz="0" w:space="0" w:color="auto"/>
        <w:left w:val="none" w:sz="0" w:space="0" w:color="auto"/>
        <w:bottom w:val="none" w:sz="0" w:space="0" w:color="auto"/>
        <w:right w:val="none" w:sz="0" w:space="0" w:color="auto"/>
      </w:divBdr>
    </w:div>
    <w:div w:id="180435497">
      <w:bodyDiv w:val="1"/>
      <w:marLeft w:val="0"/>
      <w:marRight w:val="0"/>
      <w:marTop w:val="0"/>
      <w:marBottom w:val="0"/>
      <w:divBdr>
        <w:top w:val="none" w:sz="0" w:space="0" w:color="auto"/>
        <w:left w:val="none" w:sz="0" w:space="0" w:color="auto"/>
        <w:bottom w:val="none" w:sz="0" w:space="0" w:color="auto"/>
        <w:right w:val="none" w:sz="0" w:space="0" w:color="auto"/>
      </w:divBdr>
    </w:div>
    <w:div w:id="212548646">
      <w:bodyDiv w:val="1"/>
      <w:marLeft w:val="0"/>
      <w:marRight w:val="0"/>
      <w:marTop w:val="0"/>
      <w:marBottom w:val="0"/>
      <w:divBdr>
        <w:top w:val="none" w:sz="0" w:space="0" w:color="auto"/>
        <w:left w:val="none" w:sz="0" w:space="0" w:color="auto"/>
        <w:bottom w:val="none" w:sz="0" w:space="0" w:color="auto"/>
        <w:right w:val="none" w:sz="0" w:space="0" w:color="auto"/>
      </w:divBdr>
    </w:div>
    <w:div w:id="218051380">
      <w:bodyDiv w:val="1"/>
      <w:marLeft w:val="0"/>
      <w:marRight w:val="0"/>
      <w:marTop w:val="0"/>
      <w:marBottom w:val="0"/>
      <w:divBdr>
        <w:top w:val="none" w:sz="0" w:space="0" w:color="auto"/>
        <w:left w:val="none" w:sz="0" w:space="0" w:color="auto"/>
        <w:bottom w:val="none" w:sz="0" w:space="0" w:color="auto"/>
        <w:right w:val="none" w:sz="0" w:space="0" w:color="auto"/>
      </w:divBdr>
    </w:div>
    <w:div w:id="269901302">
      <w:bodyDiv w:val="1"/>
      <w:marLeft w:val="0"/>
      <w:marRight w:val="0"/>
      <w:marTop w:val="0"/>
      <w:marBottom w:val="0"/>
      <w:divBdr>
        <w:top w:val="none" w:sz="0" w:space="0" w:color="auto"/>
        <w:left w:val="none" w:sz="0" w:space="0" w:color="auto"/>
        <w:bottom w:val="none" w:sz="0" w:space="0" w:color="auto"/>
        <w:right w:val="none" w:sz="0" w:space="0" w:color="auto"/>
      </w:divBdr>
    </w:div>
    <w:div w:id="288634982">
      <w:bodyDiv w:val="1"/>
      <w:marLeft w:val="0"/>
      <w:marRight w:val="0"/>
      <w:marTop w:val="0"/>
      <w:marBottom w:val="0"/>
      <w:divBdr>
        <w:top w:val="none" w:sz="0" w:space="0" w:color="auto"/>
        <w:left w:val="none" w:sz="0" w:space="0" w:color="auto"/>
        <w:bottom w:val="none" w:sz="0" w:space="0" w:color="auto"/>
        <w:right w:val="none" w:sz="0" w:space="0" w:color="auto"/>
      </w:divBdr>
    </w:div>
    <w:div w:id="301271662">
      <w:bodyDiv w:val="1"/>
      <w:marLeft w:val="0"/>
      <w:marRight w:val="0"/>
      <w:marTop w:val="0"/>
      <w:marBottom w:val="0"/>
      <w:divBdr>
        <w:top w:val="none" w:sz="0" w:space="0" w:color="auto"/>
        <w:left w:val="none" w:sz="0" w:space="0" w:color="auto"/>
        <w:bottom w:val="none" w:sz="0" w:space="0" w:color="auto"/>
        <w:right w:val="none" w:sz="0" w:space="0" w:color="auto"/>
      </w:divBdr>
    </w:div>
    <w:div w:id="307904066">
      <w:bodyDiv w:val="1"/>
      <w:marLeft w:val="0"/>
      <w:marRight w:val="0"/>
      <w:marTop w:val="0"/>
      <w:marBottom w:val="0"/>
      <w:divBdr>
        <w:top w:val="none" w:sz="0" w:space="0" w:color="auto"/>
        <w:left w:val="none" w:sz="0" w:space="0" w:color="auto"/>
        <w:bottom w:val="none" w:sz="0" w:space="0" w:color="auto"/>
        <w:right w:val="none" w:sz="0" w:space="0" w:color="auto"/>
      </w:divBdr>
    </w:div>
    <w:div w:id="312564778">
      <w:bodyDiv w:val="1"/>
      <w:marLeft w:val="0"/>
      <w:marRight w:val="0"/>
      <w:marTop w:val="0"/>
      <w:marBottom w:val="0"/>
      <w:divBdr>
        <w:top w:val="none" w:sz="0" w:space="0" w:color="auto"/>
        <w:left w:val="none" w:sz="0" w:space="0" w:color="auto"/>
        <w:bottom w:val="none" w:sz="0" w:space="0" w:color="auto"/>
        <w:right w:val="none" w:sz="0" w:space="0" w:color="auto"/>
      </w:divBdr>
    </w:div>
    <w:div w:id="325324847">
      <w:bodyDiv w:val="1"/>
      <w:marLeft w:val="0"/>
      <w:marRight w:val="0"/>
      <w:marTop w:val="0"/>
      <w:marBottom w:val="0"/>
      <w:divBdr>
        <w:top w:val="none" w:sz="0" w:space="0" w:color="auto"/>
        <w:left w:val="none" w:sz="0" w:space="0" w:color="auto"/>
        <w:bottom w:val="none" w:sz="0" w:space="0" w:color="auto"/>
        <w:right w:val="none" w:sz="0" w:space="0" w:color="auto"/>
      </w:divBdr>
    </w:div>
    <w:div w:id="337735686">
      <w:bodyDiv w:val="1"/>
      <w:marLeft w:val="0"/>
      <w:marRight w:val="0"/>
      <w:marTop w:val="0"/>
      <w:marBottom w:val="0"/>
      <w:divBdr>
        <w:top w:val="none" w:sz="0" w:space="0" w:color="auto"/>
        <w:left w:val="none" w:sz="0" w:space="0" w:color="auto"/>
        <w:bottom w:val="none" w:sz="0" w:space="0" w:color="auto"/>
        <w:right w:val="none" w:sz="0" w:space="0" w:color="auto"/>
      </w:divBdr>
    </w:div>
    <w:div w:id="407385315">
      <w:bodyDiv w:val="1"/>
      <w:marLeft w:val="0"/>
      <w:marRight w:val="0"/>
      <w:marTop w:val="0"/>
      <w:marBottom w:val="0"/>
      <w:divBdr>
        <w:top w:val="none" w:sz="0" w:space="0" w:color="auto"/>
        <w:left w:val="none" w:sz="0" w:space="0" w:color="auto"/>
        <w:bottom w:val="none" w:sz="0" w:space="0" w:color="auto"/>
        <w:right w:val="none" w:sz="0" w:space="0" w:color="auto"/>
      </w:divBdr>
    </w:div>
    <w:div w:id="411968006">
      <w:bodyDiv w:val="1"/>
      <w:marLeft w:val="0"/>
      <w:marRight w:val="0"/>
      <w:marTop w:val="0"/>
      <w:marBottom w:val="0"/>
      <w:divBdr>
        <w:top w:val="none" w:sz="0" w:space="0" w:color="auto"/>
        <w:left w:val="none" w:sz="0" w:space="0" w:color="auto"/>
        <w:bottom w:val="none" w:sz="0" w:space="0" w:color="auto"/>
        <w:right w:val="none" w:sz="0" w:space="0" w:color="auto"/>
      </w:divBdr>
    </w:div>
    <w:div w:id="431315728">
      <w:bodyDiv w:val="1"/>
      <w:marLeft w:val="0"/>
      <w:marRight w:val="0"/>
      <w:marTop w:val="0"/>
      <w:marBottom w:val="0"/>
      <w:divBdr>
        <w:top w:val="none" w:sz="0" w:space="0" w:color="auto"/>
        <w:left w:val="none" w:sz="0" w:space="0" w:color="auto"/>
        <w:bottom w:val="none" w:sz="0" w:space="0" w:color="auto"/>
        <w:right w:val="none" w:sz="0" w:space="0" w:color="auto"/>
      </w:divBdr>
    </w:div>
    <w:div w:id="440926994">
      <w:bodyDiv w:val="1"/>
      <w:marLeft w:val="0"/>
      <w:marRight w:val="0"/>
      <w:marTop w:val="0"/>
      <w:marBottom w:val="0"/>
      <w:divBdr>
        <w:top w:val="none" w:sz="0" w:space="0" w:color="auto"/>
        <w:left w:val="none" w:sz="0" w:space="0" w:color="auto"/>
        <w:bottom w:val="none" w:sz="0" w:space="0" w:color="auto"/>
        <w:right w:val="none" w:sz="0" w:space="0" w:color="auto"/>
      </w:divBdr>
    </w:div>
    <w:div w:id="442001437">
      <w:bodyDiv w:val="1"/>
      <w:marLeft w:val="0"/>
      <w:marRight w:val="0"/>
      <w:marTop w:val="0"/>
      <w:marBottom w:val="0"/>
      <w:divBdr>
        <w:top w:val="none" w:sz="0" w:space="0" w:color="auto"/>
        <w:left w:val="none" w:sz="0" w:space="0" w:color="auto"/>
        <w:bottom w:val="none" w:sz="0" w:space="0" w:color="auto"/>
        <w:right w:val="none" w:sz="0" w:space="0" w:color="auto"/>
      </w:divBdr>
    </w:div>
    <w:div w:id="454521855">
      <w:bodyDiv w:val="1"/>
      <w:marLeft w:val="0"/>
      <w:marRight w:val="0"/>
      <w:marTop w:val="0"/>
      <w:marBottom w:val="0"/>
      <w:divBdr>
        <w:top w:val="none" w:sz="0" w:space="0" w:color="auto"/>
        <w:left w:val="none" w:sz="0" w:space="0" w:color="auto"/>
        <w:bottom w:val="none" w:sz="0" w:space="0" w:color="auto"/>
        <w:right w:val="none" w:sz="0" w:space="0" w:color="auto"/>
      </w:divBdr>
    </w:div>
    <w:div w:id="461264827">
      <w:bodyDiv w:val="1"/>
      <w:marLeft w:val="0"/>
      <w:marRight w:val="0"/>
      <w:marTop w:val="0"/>
      <w:marBottom w:val="0"/>
      <w:divBdr>
        <w:top w:val="none" w:sz="0" w:space="0" w:color="auto"/>
        <w:left w:val="none" w:sz="0" w:space="0" w:color="auto"/>
        <w:bottom w:val="none" w:sz="0" w:space="0" w:color="auto"/>
        <w:right w:val="none" w:sz="0" w:space="0" w:color="auto"/>
      </w:divBdr>
    </w:div>
    <w:div w:id="494033900">
      <w:bodyDiv w:val="1"/>
      <w:marLeft w:val="0"/>
      <w:marRight w:val="0"/>
      <w:marTop w:val="0"/>
      <w:marBottom w:val="0"/>
      <w:divBdr>
        <w:top w:val="none" w:sz="0" w:space="0" w:color="auto"/>
        <w:left w:val="none" w:sz="0" w:space="0" w:color="auto"/>
        <w:bottom w:val="none" w:sz="0" w:space="0" w:color="auto"/>
        <w:right w:val="none" w:sz="0" w:space="0" w:color="auto"/>
      </w:divBdr>
      <w:divsChild>
        <w:div w:id="466704054">
          <w:marLeft w:val="0"/>
          <w:marRight w:val="0"/>
          <w:marTop w:val="0"/>
          <w:marBottom w:val="0"/>
          <w:divBdr>
            <w:top w:val="none" w:sz="0" w:space="0" w:color="auto"/>
            <w:left w:val="none" w:sz="0" w:space="0" w:color="auto"/>
            <w:bottom w:val="none" w:sz="0" w:space="0" w:color="auto"/>
            <w:right w:val="none" w:sz="0" w:space="0" w:color="auto"/>
          </w:divBdr>
          <w:divsChild>
            <w:div w:id="1940717709">
              <w:marLeft w:val="0"/>
              <w:marRight w:val="0"/>
              <w:marTop w:val="0"/>
              <w:marBottom w:val="0"/>
              <w:divBdr>
                <w:top w:val="none" w:sz="0" w:space="0" w:color="auto"/>
                <w:left w:val="none" w:sz="0" w:space="0" w:color="auto"/>
                <w:bottom w:val="none" w:sz="0" w:space="0" w:color="auto"/>
                <w:right w:val="none" w:sz="0" w:space="0" w:color="auto"/>
              </w:divBdr>
              <w:divsChild>
                <w:div w:id="1310672130">
                  <w:marLeft w:val="0"/>
                  <w:marRight w:val="0"/>
                  <w:marTop w:val="0"/>
                  <w:marBottom w:val="0"/>
                  <w:divBdr>
                    <w:top w:val="none" w:sz="0" w:space="0" w:color="auto"/>
                    <w:left w:val="none" w:sz="0" w:space="0" w:color="auto"/>
                    <w:bottom w:val="none" w:sz="0" w:space="0" w:color="auto"/>
                    <w:right w:val="none" w:sz="0" w:space="0" w:color="auto"/>
                  </w:divBdr>
                  <w:divsChild>
                    <w:div w:id="374500385">
                      <w:marLeft w:val="0"/>
                      <w:marRight w:val="0"/>
                      <w:marTop w:val="0"/>
                      <w:marBottom w:val="0"/>
                      <w:divBdr>
                        <w:top w:val="none" w:sz="0" w:space="0" w:color="auto"/>
                        <w:left w:val="none" w:sz="0" w:space="0" w:color="auto"/>
                        <w:bottom w:val="none" w:sz="0" w:space="0" w:color="auto"/>
                        <w:right w:val="none" w:sz="0" w:space="0" w:color="auto"/>
                      </w:divBdr>
                      <w:divsChild>
                        <w:div w:id="535317250">
                          <w:marLeft w:val="0"/>
                          <w:marRight w:val="0"/>
                          <w:marTop w:val="0"/>
                          <w:marBottom w:val="0"/>
                          <w:divBdr>
                            <w:top w:val="none" w:sz="0" w:space="0" w:color="auto"/>
                            <w:left w:val="none" w:sz="0" w:space="0" w:color="auto"/>
                            <w:bottom w:val="none" w:sz="0" w:space="0" w:color="auto"/>
                            <w:right w:val="none" w:sz="0" w:space="0" w:color="auto"/>
                          </w:divBdr>
                          <w:divsChild>
                            <w:div w:id="18193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153346">
      <w:bodyDiv w:val="1"/>
      <w:marLeft w:val="0"/>
      <w:marRight w:val="0"/>
      <w:marTop w:val="0"/>
      <w:marBottom w:val="0"/>
      <w:divBdr>
        <w:top w:val="none" w:sz="0" w:space="0" w:color="auto"/>
        <w:left w:val="none" w:sz="0" w:space="0" w:color="auto"/>
        <w:bottom w:val="none" w:sz="0" w:space="0" w:color="auto"/>
        <w:right w:val="none" w:sz="0" w:space="0" w:color="auto"/>
      </w:divBdr>
    </w:div>
    <w:div w:id="523709984">
      <w:bodyDiv w:val="1"/>
      <w:marLeft w:val="0"/>
      <w:marRight w:val="0"/>
      <w:marTop w:val="0"/>
      <w:marBottom w:val="0"/>
      <w:divBdr>
        <w:top w:val="none" w:sz="0" w:space="0" w:color="auto"/>
        <w:left w:val="none" w:sz="0" w:space="0" w:color="auto"/>
        <w:bottom w:val="none" w:sz="0" w:space="0" w:color="auto"/>
        <w:right w:val="none" w:sz="0" w:space="0" w:color="auto"/>
      </w:divBdr>
    </w:div>
    <w:div w:id="545024627">
      <w:bodyDiv w:val="1"/>
      <w:marLeft w:val="0"/>
      <w:marRight w:val="0"/>
      <w:marTop w:val="0"/>
      <w:marBottom w:val="0"/>
      <w:divBdr>
        <w:top w:val="none" w:sz="0" w:space="0" w:color="auto"/>
        <w:left w:val="none" w:sz="0" w:space="0" w:color="auto"/>
        <w:bottom w:val="none" w:sz="0" w:space="0" w:color="auto"/>
        <w:right w:val="none" w:sz="0" w:space="0" w:color="auto"/>
      </w:divBdr>
    </w:div>
    <w:div w:id="581911151">
      <w:bodyDiv w:val="1"/>
      <w:marLeft w:val="0"/>
      <w:marRight w:val="0"/>
      <w:marTop w:val="0"/>
      <w:marBottom w:val="0"/>
      <w:divBdr>
        <w:top w:val="none" w:sz="0" w:space="0" w:color="auto"/>
        <w:left w:val="none" w:sz="0" w:space="0" w:color="auto"/>
        <w:bottom w:val="none" w:sz="0" w:space="0" w:color="auto"/>
        <w:right w:val="none" w:sz="0" w:space="0" w:color="auto"/>
      </w:divBdr>
    </w:div>
    <w:div w:id="641497125">
      <w:bodyDiv w:val="1"/>
      <w:marLeft w:val="0"/>
      <w:marRight w:val="0"/>
      <w:marTop w:val="0"/>
      <w:marBottom w:val="0"/>
      <w:divBdr>
        <w:top w:val="none" w:sz="0" w:space="0" w:color="auto"/>
        <w:left w:val="none" w:sz="0" w:space="0" w:color="auto"/>
        <w:bottom w:val="none" w:sz="0" w:space="0" w:color="auto"/>
        <w:right w:val="none" w:sz="0" w:space="0" w:color="auto"/>
      </w:divBdr>
    </w:div>
    <w:div w:id="865826210">
      <w:bodyDiv w:val="1"/>
      <w:marLeft w:val="0"/>
      <w:marRight w:val="0"/>
      <w:marTop w:val="0"/>
      <w:marBottom w:val="0"/>
      <w:divBdr>
        <w:top w:val="none" w:sz="0" w:space="0" w:color="auto"/>
        <w:left w:val="none" w:sz="0" w:space="0" w:color="auto"/>
        <w:bottom w:val="none" w:sz="0" w:space="0" w:color="auto"/>
        <w:right w:val="none" w:sz="0" w:space="0" w:color="auto"/>
      </w:divBdr>
    </w:div>
    <w:div w:id="906038826">
      <w:bodyDiv w:val="1"/>
      <w:marLeft w:val="0"/>
      <w:marRight w:val="0"/>
      <w:marTop w:val="0"/>
      <w:marBottom w:val="0"/>
      <w:divBdr>
        <w:top w:val="none" w:sz="0" w:space="0" w:color="auto"/>
        <w:left w:val="none" w:sz="0" w:space="0" w:color="auto"/>
        <w:bottom w:val="none" w:sz="0" w:space="0" w:color="auto"/>
        <w:right w:val="none" w:sz="0" w:space="0" w:color="auto"/>
      </w:divBdr>
    </w:div>
    <w:div w:id="950431666">
      <w:bodyDiv w:val="1"/>
      <w:marLeft w:val="0"/>
      <w:marRight w:val="0"/>
      <w:marTop w:val="0"/>
      <w:marBottom w:val="0"/>
      <w:divBdr>
        <w:top w:val="none" w:sz="0" w:space="0" w:color="auto"/>
        <w:left w:val="none" w:sz="0" w:space="0" w:color="auto"/>
        <w:bottom w:val="none" w:sz="0" w:space="0" w:color="auto"/>
        <w:right w:val="none" w:sz="0" w:space="0" w:color="auto"/>
      </w:divBdr>
    </w:div>
    <w:div w:id="969239018">
      <w:bodyDiv w:val="1"/>
      <w:marLeft w:val="0"/>
      <w:marRight w:val="0"/>
      <w:marTop w:val="0"/>
      <w:marBottom w:val="0"/>
      <w:divBdr>
        <w:top w:val="none" w:sz="0" w:space="0" w:color="auto"/>
        <w:left w:val="none" w:sz="0" w:space="0" w:color="auto"/>
        <w:bottom w:val="none" w:sz="0" w:space="0" w:color="auto"/>
        <w:right w:val="none" w:sz="0" w:space="0" w:color="auto"/>
      </w:divBdr>
    </w:div>
    <w:div w:id="970792911">
      <w:bodyDiv w:val="1"/>
      <w:marLeft w:val="0"/>
      <w:marRight w:val="0"/>
      <w:marTop w:val="0"/>
      <w:marBottom w:val="0"/>
      <w:divBdr>
        <w:top w:val="none" w:sz="0" w:space="0" w:color="auto"/>
        <w:left w:val="none" w:sz="0" w:space="0" w:color="auto"/>
        <w:bottom w:val="none" w:sz="0" w:space="0" w:color="auto"/>
        <w:right w:val="none" w:sz="0" w:space="0" w:color="auto"/>
      </w:divBdr>
    </w:div>
    <w:div w:id="982975381">
      <w:bodyDiv w:val="1"/>
      <w:marLeft w:val="0"/>
      <w:marRight w:val="0"/>
      <w:marTop w:val="0"/>
      <w:marBottom w:val="0"/>
      <w:divBdr>
        <w:top w:val="none" w:sz="0" w:space="0" w:color="auto"/>
        <w:left w:val="none" w:sz="0" w:space="0" w:color="auto"/>
        <w:bottom w:val="none" w:sz="0" w:space="0" w:color="auto"/>
        <w:right w:val="none" w:sz="0" w:space="0" w:color="auto"/>
      </w:divBdr>
    </w:div>
    <w:div w:id="1013073741">
      <w:bodyDiv w:val="1"/>
      <w:marLeft w:val="0"/>
      <w:marRight w:val="0"/>
      <w:marTop w:val="0"/>
      <w:marBottom w:val="0"/>
      <w:divBdr>
        <w:top w:val="none" w:sz="0" w:space="0" w:color="auto"/>
        <w:left w:val="none" w:sz="0" w:space="0" w:color="auto"/>
        <w:bottom w:val="none" w:sz="0" w:space="0" w:color="auto"/>
        <w:right w:val="none" w:sz="0" w:space="0" w:color="auto"/>
      </w:divBdr>
    </w:div>
    <w:div w:id="1035933001">
      <w:bodyDiv w:val="1"/>
      <w:marLeft w:val="0"/>
      <w:marRight w:val="0"/>
      <w:marTop w:val="0"/>
      <w:marBottom w:val="0"/>
      <w:divBdr>
        <w:top w:val="none" w:sz="0" w:space="0" w:color="auto"/>
        <w:left w:val="none" w:sz="0" w:space="0" w:color="auto"/>
        <w:bottom w:val="none" w:sz="0" w:space="0" w:color="auto"/>
        <w:right w:val="none" w:sz="0" w:space="0" w:color="auto"/>
      </w:divBdr>
    </w:div>
    <w:div w:id="1050180440">
      <w:bodyDiv w:val="1"/>
      <w:marLeft w:val="0"/>
      <w:marRight w:val="0"/>
      <w:marTop w:val="0"/>
      <w:marBottom w:val="0"/>
      <w:divBdr>
        <w:top w:val="none" w:sz="0" w:space="0" w:color="auto"/>
        <w:left w:val="none" w:sz="0" w:space="0" w:color="auto"/>
        <w:bottom w:val="none" w:sz="0" w:space="0" w:color="auto"/>
        <w:right w:val="none" w:sz="0" w:space="0" w:color="auto"/>
      </w:divBdr>
    </w:div>
    <w:div w:id="1070545768">
      <w:bodyDiv w:val="1"/>
      <w:marLeft w:val="0"/>
      <w:marRight w:val="0"/>
      <w:marTop w:val="0"/>
      <w:marBottom w:val="0"/>
      <w:divBdr>
        <w:top w:val="none" w:sz="0" w:space="0" w:color="auto"/>
        <w:left w:val="none" w:sz="0" w:space="0" w:color="auto"/>
        <w:bottom w:val="none" w:sz="0" w:space="0" w:color="auto"/>
        <w:right w:val="none" w:sz="0" w:space="0" w:color="auto"/>
      </w:divBdr>
    </w:div>
    <w:div w:id="1074206200">
      <w:bodyDiv w:val="1"/>
      <w:marLeft w:val="0"/>
      <w:marRight w:val="0"/>
      <w:marTop w:val="0"/>
      <w:marBottom w:val="0"/>
      <w:divBdr>
        <w:top w:val="none" w:sz="0" w:space="0" w:color="auto"/>
        <w:left w:val="none" w:sz="0" w:space="0" w:color="auto"/>
        <w:bottom w:val="none" w:sz="0" w:space="0" w:color="auto"/>
        <w:right w:val="none" w:sz="0" w:space="0" w:color="auto"/>
      </w:divBdr>
    </w:div>
    <w:div w:id="1107429220">
      <w:bodyDiv w:val="1"/>
      <w:marLeft w:val="0"/>
      <w:marRight w:val="0"/>
      <w:marTop w:val="0"/>
      <w:marBottom w:val="0"/>
      <w:divBdr>
        <w:top w:val="none" w:sz="0" w:space="0" w:color="auto"/>
        <w:left w:val="none" w:sz="0" w:space="0" w:color="auto"/>
        <w:bottom w:val="none" w:sz="0" w:space="0" w:color="auto"/>
        <w:right w:val="none" w:sz="0" w:space="0" w:color="auto"/>
      </w:divBdr>
    </w:div>
    <w:div w:id="1112087405">
      <w:bodyDiv w:val="1"/>
      <w:marLeft w:val="0"/>
      <w:marRight w:val="0"/>
      <w:marTop w:val="0"/>
      <w:marBottom w:val="0"/>
      <w:divBdr>
        <w:top w:val="none" w:sz="0" w:space="0" w:color="auto"/>
        <w:left w:val="none" w:sz="0" w:space="0" w:color="auto"/>
        <w:bottom w:val="none" w:sz="0" w:space="0" w:color="auto"/>
        <w:right w:val="none" w:sz="0" w:space="0" w:color="auto"/>
      </w:divBdr>
    </w:div>
    <w:div w:id="1142428678">
      <w:bodyDiv w:val="1"/>
      <w:marLeft w:val="0"/>
      <w:marRight w:val="0"/>
      <w:marTop w:val="0"/>
      <w:marBottom w:val="0"/>
      <w:divBdr>
        <w:top w:val="none" w:sz="0" w:space="0" w:color="auto"/>
        <w:left w:val="none" w:sz="0" w:space="0" w:color="auto"/>
        <w:bottom w:val="none" w:sz="0" w:space="0" w:color="auto"/>
        <w:right w:val="none" w:sz="0" w:space="0" w:color="auto"/>
      </w:divBdr>
    </w:div>
    <w:div w:id="1165248604">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4988596">
      <w:bodyDiv w:val="1"/>
      <w:marLeft w:val="0"/>
      <w:marRight w:val="0"/>
      <w:marTop w:val="0"/>
      <w:marBottom w:val="0"/>
      <w:divBdr>
        <w:top w:val="none" w:sz="0" w:space="0" w:color="auto"/>
        <w:left w:val="none" w:sz="0" w:space="0" w:color="auto"/>
        <w:bottom w:val="none" w:sz="0" w:space="0" w:color="auto"/>
        <w:right w:val="none" w:sz="0" w:space="0" w:color="auto"/>
      </w:divBdr>
    </w:div>
    <w:div w:id="1254128804">
      <w:bodyDiv w:val="1"/>
      <w:marLeft w:val="0"/>
      <w:marRight w:val="0"/>
      <w:marTop w:val="0"/>
      <w:marBottom w:val="0"/>
      <w:divBdr>
        <w:top w:val="none" w:sz="0" w:space="0" w:color="auto"/>
        <w:left w:val="none" w:sz="0" w:space="0" w:color="auto"/>
        <w:bottom w:val="none" w:sz="0" w:space="0" w:color="auto"/>
        <w:right w:val="none" w:sz="0" w:space="0" w:color="auto"/>
      </w:divBdr>
    </w:div>
    <w:div w:id="1287200861">
      <w:bodyDiv w:val="1"/>
      <w:marLeft w:val="0"/>
      <w:marRight w:val="0"/>
      <w:marTop w:val="0"/>
      <w:marBottom w:val="0"/>
      <w:divBdr>
        <w:top w:val="none" w:sz="0" w:space="0" w:color="auto"/>
        <w:left w:val="none" w:sz="0" w:space="0" w:color="auto"/>
        <w:bottom w:val="none" w:sz="0" w:space="0" w:color="auto"/>
        <w:right w:val="none" w:sz="0" w:space="0" w:color="auto"/>
      </w:divBdr>
    </w:div>
    <w:div w:id="1290090633">
      <w:bodyDiv w:val="1"/>
      <w:marLeft w:val="0"/>
      <w:marRight w:val="0"/>
      <w:marTop w:val="0"/>
      <w:marBottom w:val="0"/>
      <w:divBdr>
        <w:top w:val="none" w:sz="0" w:space="0" w:color="auto"/>
        <w:left w:val="none" w:sz="0" w:space="0" w:color="auto"/>
        <w:bottom w:val="none" w:sz="0" w:space="0" w:color="auto"/>
        <w:right w:val="none" w:sz="0" w:space="0" w:color="auto"/>
      </w:divBdr>
    </w:div>
    <w:div w:id="1325430163">
      <w:bodyDiv w:val="1"/>
      <w:marLeft w:val="0"/>
      <w:marRight w:val="0"/>
      <w:marTop w:val="0"/>
      <w:marBottom w:val="0"/>
      <w:divBdr>
        <w:top w:val="none" w:sz="0" w:space="0" w:color="auto"/>
        <w:left w:val="none" w:sz="0" w:space="0" w:color="auto"/>
        <w:bottom w:val="none" w:sz="0" w:space="0" w:color="auto"/>
        <w:right w:val="none" w:sz="0" w:space="0" w:color="auto"/>
      </w:divBdr>
    </w:div>
    <w:div w:id="1365248347">
      <w:bodyDiv w:val="1"/>
      <w:marLeft w:val="0"/>
      <w:marRight w:val="0"/>
      <w:marTop w:val="0"/>
      <w:marBottom w:val="0"/>
      <w:divBdr>
        <w:top w:val="none" w:sz="0" w:space="0" w:color="auto"/>
        <w:left w:val="none" w:sz="0" w:space="0" w:color="auto"/>
        <w:bottom w:val="none" w:sz="0" w:space="0" w:color="auto"/>
        <w:right w:val="none" w:sz="0" w:space="0" w:color="auto"/>
      </w:divBdr>
    </w:div>
    <w:div w:id="1373723819">
      <w:bodyDiv w:val="1"/>
      <w:marLeft w:val="0"/>
      <w:marRight w:val="0"/>
      <w:marTop w:val="0"/>
      <w:marBottom w:val="0"/>
      <w:divBdr>
        <w:top w:val="none" w:sz="0" w:space="0" w:color="auto"/>
        <w:left w:val="none" w:sz="0" w:space="0" w:color="auto"/>
        <w:bottom w:val="none" w:sz="0" w:space="0" w:color="auto"/>
        <w:right w:val="none" w:sz="0" w:space="0" w:color="auto"/>
      </w:divBdr>
    </w:div>
    <w:div w:id="1399327820">
      <w:bodyDiv w:val="1"/>
      <w:marLeft w:val="0"/>
      <w:marRight w:val="0"/>
      <w:marTop w:val="0"/>
      <w:marBottom w:val="0"/>
      <w:divBdr>
        <w:top w:val="none" w:sz="0" w:space="0" w:color="auto"/>
        <w:left w:val="none" w:sz="0" w:space="0" w:color="auto"/>
        <w:bottom w:val="none" w:sz="0" w:space="0" w:color="auto"/>
        <w:right w:val="none" w:sz="0" w:space="0" w:color="auto"/>
      </w:divBdr>
    </w:div>
    <w:div w:id="1428311355">
      <w:bodyDiv w:val="1"/>
      <w:marLeft w:val="0"/>
      <w:marRight w:val="0"/>
      <w:marTop w:val="0"/>
      <w:marBottom w:val="0"/>
      <w:divBdr>
        <w:top w:val="none" w:sz="0" w:space="0" w:color="auto"/>
        <w:left w:val="none" w:sz="0" w:space="0" w:color="auto"/>
        <w:bottom w:val="none" w:sz="0" w:space="0" w:color="auto"/>
        <w:right w:val="none" w:sz="0" w:space="0" w:color="auto"/>
      </w:divBdr>
    </w:div>
    <w:div w:id="1446005301">
      <w:bodyDiv w:val="1"/>
      <w:marLeft w:val="0"/>
      <w:marRight w:val="0"/>
      <w:marTop w:val="0"/>
      <w:marBottom w:val="0"/>
      <w:divBdr>
        <w:top w:val="none" w:sz="0" w:space="0" w:color="auto"/>
        <w:left w:val="none" w:sz="0" w:space="0" w:color="auto"/>
        <w:bottom w:val="none" w:sz="0" w:space="0" w:color="auto"/>
        <w:right w:val="none" w:sz="0" w:space="0" w:color="auto"/>
      </w:divBdr>
    </w:div>
    <w:div w:id="1461070360">
      <w:bodyDiv w:val="1"/>
      <w:marLeft w:val="0"/>
      <w:marRight w:val="0"/>
      <w:marTop w:val="0"/>
      <w:marBottom w:val="0"/>
      <w:divBdr>
        <w:top w:val="none" w:sz="0" w:space="0" w:color="auto"/>
        <w:left w:val="none" w:sz="0" w:space="0" w:color="auto"/>
        <w:bottom w:val="none" w:sz="0" w:space="0" w:color="auto"/>
        <w:right w:val="none" w:sz="0" w:space="0" w:color="auto"/>
      </w:divBdr>
    </w:div>
    <w:div w:id="1477409699">
      <w:bodyDiv w:val="1"/>
      <w:marLeft w:val="0"/>
      <w:marRight w:val="0"/>
      <w:marTop w:val="0"/>
      <w:marBottom w:val="0"/>
      <w:divBdr>
        <w:top w:val="none" w:sz="0" w:space="0" w:color="auto"/>
        <w:left w:val="none" w:sz="0" w:space="0" w:color="auto"/>
        <w:bottom w:val="none" w:sz="0" w:space="0" w:color="auto"/>
        <w:right w:val="none" w:sz="0" w:space="0" w:color="auto"/>
      </w:divBdr>
    </w:div>
    <w:div w:id="1495753615">
      <w:bodyDiv w:val="1"/>
      <w:marLeft w:val="0"/>
      <w:marRight w:val="0"/>
      <w:marTop w:val="0"/>
      <w:marBottom w:val="0"/>
      <w:divBdr>
        <w:top w:val="none" w:sz="0" w:space="0" w:color="auto"/>
        <w:left w:val="none" w:sz="0" w:space="0" w:color="auto"/>
        <w:bottom w:val="none" w:sz="0" w:space="0" w:color="auto"/>
        <w:right w:val="none" w:sz="0" w:space="0" w:color="auto"/>
      </w:divBdr>
    </w:div>
    <w:div w:id="1501382741">
      <w:bodyDiv w:val="1"/>
      <w:marLeft w:val="0"/>
      <w:marRight w:val="0"/>
      <w:marTop w:val="0"/>
      <w:marBottom w:val="0"/>
      <w:divBdr>
        <w:top w:val="none" w:sz="0" w:space="0" w:color="auto"/>
        <w:left w:val="none" w:sz="0" w:space="0" w:color="auto"/>
        <w:bottom w:val="none" w:sz="0" w:space="0" w:color="auto"/>
        <w:right w:val="none" w:sz="0" w:space="0" w:color="auto"/>
      </w:divBdr>
    </w:div>
    <w:div w:id="1534492624">
      <w:bodyDiv w:val="1"/>
      <w:marLeft w:val="0"/>
      <w:marRight w:val="0"/>
      <w:marTop w:val="0"/>
      <w:marBottom w:val="0"/>
      <w:divBdr>
        <w:top w:val="none" w:sz="0" w:space="0" w:color="auto"/>
        <w:left w:val="none" w:sz="0" w:space="0" w:color="auto"/>
        <w:bottom w:val="none" w:sz="0" w:space="0" w:color="auto"/>
        <w:right w:val="none" w:sz="0" w:space="0" w:color="auto"/>
      </w:divBdr>
    </w:div>
    <w:div w:id="1549221399">
      <w:bodyDiv w:val="1"/>
      <w:marLeft w:val="0"/>
      <w:marRight w:val="0"/>
      <w:marTop w:val="0"/>
      <w:marBottom w:val="0"/>
      <w:divBdr>
        <w:top w:val="none" w:sz="0" w:space="0" w:color="auto"/>
        <w:left w:val="none" w:sz="0" w:space="0" w:color="auto"/>
        <w:bottom w:val="none" w:sz="0" w:space="0" w:color="auto"/>
        <w:right w:val="none" w:sz="0" w:space="0" w:color="auto"/>
      </w:divBdr>
    </w:div>
    <w:div w:id="1606159398">
      <w:bodyDiv w:val="1"/>
      <w:marLeft w:val="0"/>
      <w:marRight w:val="0"/>
      <w:marTop w:val="0"/>
      <w:marBottom w:val="0"/>
      <w:divBdr>
        <w:top w:val="none" w:sz="0" w:space="0" w:color="auto"/>
        <w:left w:val="none" w:sz="0" w:space="0" w:color="auto"/>
        <w:bottom w:val="none" w:sz="0" w:space="0" w:color="auto"/>
        <w:right w:val="none" w:sz="0" w:space="0" w:color="auto"/>
      </w:divBdr>
    </w:div>
    <w:div w:id="1618946873">
      <w:bodyDiv w:val="1"/>
      <w:marLeft w:val="0"/>
      <w:marRight w:val="0"/>
      <w:marTop w:val="0"/>
      <w:marBottom w:val="0"/>
      <w:divBdr>
        <w:top w:val="none" w:sz="0" w:space="0" w:color="auto"/>
        <w:left w:val="none" w:sz="0" w:space="0" w:color="auto"/>
        <w:bottom w:val="none" w:sz="0" w:space="0" w:color="auto"/>
        <w:right w:val="none" w:sz="0" w:space="0" w:color="auto"/>
      </w:divBdr>
    </w:div>
    <w:div w:id="1636447560">
      <w:bodyDiv w:val="1"/>
      <w:marLeft w:val="0"/>
      <w:marRight w:val="0"/>
      <w:marTop w:val="0"/>
      <w:marBottom w:val="0"/>
      <w:divBdr>
        <w:top w:val="none" w:sz="0" w:space="0" w:color="auto"/>
        <w:left w:val="none" w:sz="0" w:space="0" w:color="auto"/>
        <w:bottom w:val="none" w:sz="0" w:space="0" w:color="auto"/>
        <w:right w:val="none" w:sz="0" w:space="0" w:color="auto"/>
      </w:divBdr>
    </w:div>
    <w:div w:id="1680277845">
      <w:bodyDiv w:val="1"/>
      <w:marLeft w:val="0"/>
      <w:marRight w:val="0"/>
      <w:marTop w:val="0"/>
      <w:marBottom w:val="0"/>
      <w:divBdr>
        <w:top w:val="none" w:sz="0" w:space="0" w:color="auto"/>
        <w:left w:val="none" w:sz="0" w:space="0" w:color="auto"/>
        <w:bottom w:val="none" w:sz="0" w:space="0" w:color="auto"/>
        <w:right w:val="none" w:sz="0" w:space="0" w:color="auto"/>
      </w:divBdr>
    </w:div>
    <w:div w:id="1682049529">
      <w:bodyDiv w:val="1"/>
      <w:marLeft w:val="0"/>
      <w:marRight w:val="0"/>
      <w:marTop w:val="0"/>
      <w:marBottom w:val="0"/>
      <w:divBdr>
        <w:top w:val="none" w:sz="0" w:space="0" w:color="auto"/>
        <w:left w:val="none" w:sz="0" w:space="0" w:color="auto"/>
        <w:bottom w:val="none" w:sz="0" w:space="0" w:color="auto"/>
        <w:right w:val="none" w:sz="0" w:space="0" w:color="auto"/>
      </w:divBdr>
    </w:div>
    <w:div w:id="1725175369">
      <w:bodyDiv w:val="1"/>
      <w:marLeft w:val="0"/>
      <w:marRight w:val="0"/>
      <w:marTop w:val="0"/>
      <w:marBottom w:val="0"/>
      <w:divBdr>
        <w:top w:val="none" w:sz="0" w:space="0" w:color="auto"/>
        <w:left w:val="none" w:sz="0" w:space="0" w:color="auto"/>
        <w:bottom w:val="none" w:sz="0" w:space="0" w:color="auto"/>
        <w:right w:val="none" w:sz="0" w:space="0" w:color="auto"/>
      </w:divBdr>
    </w:div>
    <w:div w:id="1749762370">
      <w:bodyDiv w:val="1"/>
      <w:marLeft w:val="0"/>
      <w:marRight w:val="0"/>
      <w:marTop w:val="30"/>
      <w:marBottom w:val="0"/>
      <w:divBdr>
        <w:top w:val="none" w:sz="0" w:space="0" w:color="auto"/>
        <w:left w:val="none" w:sz="0" w:space="0" w:color="auto"/>
        <w:bottom w:val="none" w:sz="0" w:space="0" w:color="auto"/>
        <w:right w:val="none" w:sz="0" w:space="0" w:color="auto"/>
      </w:divBdr>
      <w:divsChild>
        <w:div w:id="1895577520">
          <w:marLeft w:val="0"/>
          <w:marRight w:val="0"/>
          <w:marTop w:val="75"/>
          <w:marBottom w:val="0"/>
          <w:divBdr>
            <w:top w:val="none" w:sz="0" w:space="0" w:color="auto"/>
            <w:left w:val="none" w:sz="0" w:space="0" w:color="auto"/>
            <w:bottom w:val="none" w:sz="0" w:space="0" w:color="auto"/>
            <w:right w:val="none" w:sz="0" w:space="0" w:color="auto"/>
          </w:divBdr>
          <w:divsChild>
            <w:div w:id="925573686">
              <w:marLeft w:val="0"/>
              <w:marRight w:val="0"/>
              <w:marTop w:val="0"/>
              <w:marBottom w:val="0"/>
              <w:divBdr>
                <w:top w:val="none" w:sz="0" w:space="0" w:color="auto"/>
                <w:left w:val="none" w:sz="0" w:space="0" w:color="auto"/>
                <w:bottom w:val="none" w:sz="0" w:space="0" w:color="auto"/>
                <w:right w:val="none" w:sz="0" w:space="0" w:color="auto"/>
              </w:divBdr>
              <w:divsChild>
                <w:div w:id="1768116064">
                  <w:marLeft w:val="0"/>
                  <w:marRight w:val="0"/>
                  <w:marTop w:val="0"/>
                  <w:marBottom w:val="0"/>
                  <w:divBdr>
                    <w:top w:val="none" w:sz="0" w:space="0" w:color="auto"/>
                    <w:left w:val="none" w:sz="0" w:space="0" w:color="auto"/>
                    <w:bottom w:val="none" w:sz="0" w:space="0" w:color="auto"/>
                    <w:right w:val="none" w:sz="0" w:space="0" w:color="auto"/>
                  </w:divBdr>
                  <w:divsChild>
                    <w:div w:id="95178333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25464217">
      <w:bodyDiv w:val="1"/>
      <w:marLeft w:val="0"/>
      <w:marRight w:val="0"/>
      <w:marTop w:val="0"/>
      <w:marBottom w:val="0"/>
      <w:divBdr>
        <w:top w:val="none" w:sz="0" w:space="0" w:color="auto"/>
        <w:left w:val="none" w:sz="0" w:space="0" w:color="auto"/>
        <w:bottom w:val="none" w:sz="0" w:space="0" w:color="auto"/>
        <w:right w:val="none" w:sz="0" w:space="0" w:color="auto"/>
      </w:divBdr>
    </w:div>
    <w:div w:id="1834025153">
      <w:bodyDiv w:val="1"/>
      <w:marLeft w:val="0"/>
      <w:marRight w:val="0"/>
      <w:marTop w:val="0"/>
      <w:marBottom w:val="0"/>
      <w:divBdr>
        <w:top w:val="none" w:sz="0" w:space="0" w:color="auto"/>
        <w:left w:val="none" w:sz="0" w:space="0" w:color="auto"/>
        <w:bottom w:val="none" w:sz="0" w:space="0" w:color="auto"/>
        <w:right w:val="none" w:sz="0" w:space="0" w:color="auto"/>
      </w:divBdr>
      <w:divsChild>
        <w:div w:id="273368261">
          <w:marLeft w:val="0"/>
          <w:marRight w:val="0"/>
          <w:marTop w:val="0"/>
          <w:marBottom w:val="0"/>
          <w:divBdr>
            <w:top w:val="none" w:sz="0" w:space="0" w:color="auto"/>
            <w:left w:val="none" w:sz="0" w:space="0" w:color="auto"/>
            <w:bottom w:val="none" w:sz="0" w:space="0" w:color="auto"/>
            <w:right w:val="none" w:sz="0" w:space="0" w:color="auto"/>
          </w:divBdr>
        </w:div>
        <w:div w:id="1127579581">
          <w:marLeft w:val="0"/>
          <w:marRight w:val="0"/>
          <w:marTop w:val="0"/>
          <w:marBottom w:val="0"/>
          <w:divBdr>
            <w:top w:val="none" w:sz="0" w:space="0" w:color="auto"/>
            <w:left w:val="none" w:sz="0" w:space="0" w:color="auto"/>
            <w:bottom w:val="none" w:sz="0" w:space="0" w:color="auto"/>
            <w:right w:val="none" w:sz="0" w:space="0" w:color="auto"/>
          </w:divBdr>
        </w:div>
        <w:div w:id="502203184">
          <w:marLeft w:val="0"/>
          <w:marRight w:val="0"/>
          <w:marTop w:val="0"/>
          <w:marBottom w:val="0"/>
          <w:divBdr>
            <w:top w:val="none" w:sz="0" w:space="0" w:color="auto"/>
            <w:left w:val="none" w:sz="0" w:space="0" w:color="auto"/>
            <w:bottom w:val="none" w:sz="0" w:space="0" w:color="auto"/>
            <w:right w:val="none" w:sz="0" w:space="0" w:color="auto"/>
          </w:divBdr>
        </w:div>
        <w:div w:id="1331326983">
          <w:marLeft w:val="0"/>
          <w:marRight w:val="0"/>
          <w:marTop w:val="0"/>
          <w:marBottom w:val="0"/>
          <w:divBdr>
            <w:top w:val="none" w:sz="0" w:space="0" w:color="auto"/>
            <w:left w:val="none" w:sz="0" w:space="0" w:color="auto"/>
            <w:bottom w:val="none" w:sz="0" w:space="0" w:color="auto"/>
            <w:right w:val="none" w:sz="0" w:space="0" w:color="auto"/>
          </w:divBdr>
        </w:div>
      </w:divsChild>
    </w:div>
    <w:div w:id="1889104519">
      <w:bodyDiv w:val="1"/>
      <w:marLeft w:val="0"/>
      <w:marRight w:val="0"/>
      <w:marTop w:val="0"/>
      <w:marBottom w:val="0"/>
      <w:divBdr>
        <w:top w:val="none" w:sz="0" w:space="0" w:color="auto"/>
        <w:left w:val="none" w:sz="0" w:space="0" w:color="auto"/>
        <w:bottom w:val="none" w:sz="0" w:space="0" w:color="auto"/>
        <w:right w:val="none" w:sz="0" w:space="0" w:color="auto"/>
      </w:divBdr>
    </w:div>
    <w:div w:id="1928614701">
      <w:bodyDiv w:val="1"/>
      <w:marLeft w:val="0"/>
      <w:marRight w:val="0"/>
      <w:marTop w:val="0"/>
      <w:marBottom w:val="0"/>
      <w:divBdr>
        <w:top w:val="none" w:sz="0" w:space="0" w:color="auto"/>
        <w:left w:val="none" w:sz="0" w:space="0" w:color="auto"/>
        <w:bottom w:val="none" w:sz="0" w:space="0" w:color="auto"/>
        <w:right w:val="none" w:sz="0" w:space="0" w:color="auto"/>
      </w:divBdr>
    </w:div>
    <w:div w:id="1935673297">
      <w:bodyDiv w:val="1"/>
      <w:marLeft w:val="0"/>
      <w:marRight w:val="0"/>
      <w:marTop w:val="0"/>
      <w:marBottom w:val="0"/>
      <w:divBdr>
        <w:top w:val="none" w:sz="0" w:space="0" w:color="auto"/>
        <w:left w:val="none" w:sz="0" w:space="0" w:color="auto"/>
        <w:bottom w:val="none" w:sz="0" w:space="0" w:color="auto"/>
        <w:right w:val="none" w:sz="0" w:space="0" w:color="auto"/>
      </w:divBdr>
    </w:div>
    <w:div w:id="1943490268">
      <w:bodyDiv w:val="1"/>
      <w:marLeft w:val="0"/>
      <w:marRight w:val="0"/>
      <w:marTop w:val="0"/>
      <w:marBottom w:val="0"/>
      <w:divBdr>
        <w:top w:val="none" w:sz="0" w:space="0" w:color="auto"/>
        <w:left w:val="none" w:sz="0" w:space="0" w:color="auto"/>
        <w:bottom w:val="none" w:sz="0" w:space="0" w:color="auto"/>
        <w:right w:val="none" w:sz="0" w:space="0" w:color="auto"/>
      </w:divBdr>
    </w:div>
    <w:div w:id="1957133843">
      <w:bodyDiv w:val="1"/>
      <w:marLeft w:val="0"/>
      <w:marRight w:val="0"/>
      <w:marTop w:val="0"/>
      <w:marBottom w:val="0"/>
      <w:divBdr>
        <w:top w:val="none" w:sz="0" w:space="0" w:color="auto"/>
        <w:left w:val="none" w:sz="0" w:space="0" w:color="auto"/>
        <w:bottom w:val="none" w:sz="0" w:space="0" w:color="auto"/>
        <w:right w:val="none" w:sz="0" w:space="0" w:color="auto"/>
      </w:divBdr>
    </w:div>
    <w:div w:id="1965889526">
      <w:bodyDiv w:val="1"/>
      <w:marLeft w:val="0"/>
      <w:marRight w:val="0"/>
      <w:marTop w:val="0"/>
      <w:marBottom w:val="0"/>
      <w:divBdr>
        <w:top w:val="none" w:sz="0" w:space="0" w:color="auto"/>
        <w:left w:val="none" w:sz="0" w:space="0" w:color="auto"/>
        <w:bottom w:val="none" w:sz="0" w:space="0" w:color="auto"/>
        <w:right w:val="none" w:sz="0" w:space="0" w:color="auto"/>
      </w:divBdr>
    </w:div>
    <w:div w:id="1988971041">
      <w:bodyDiv w:val="1"/>
      <w:marLeft w:val="0"/>
      <w:marRight w:val="0"/>
      <w:marTop w:val="0"/>
      <w:marBottom w:val="0"/>
      <w:divBdr>
        <w:top w:val="none" w:sz="0" w:space="0" w:color="auto"/>
        <w:left w:val="none" w:sz="0" w:space="0" w:color="auto"/>
        <w:bottom w:val="none" w:sz="0" w:space="0" w:color="auto"/>
        <w:right w:val="none" w:sz="0" w:space="0" w:color="auto"/>
      </w:divBdr>
    </w:div>
    <w:div w:id="2019694210">
      <w:bodyDiv w:val="1"/>
      <w:marLeft w:val="0"/>
      <w:marRight w:val="0"/>
      <w:marTop w:val="0"/>
      <w:marBottom w:val="0"/>
      <w:divBdr>
        <w:top w:val="none" w:sz="0" w:space="0" w:color="auto"/>
        <w:left w:val="none" w:sz="0" w:space="0" w:color="auto"/>
        <w:bottom w:val="none" w:sz="0" w:space="0" w:color="auto"/>
        <w:right w:val="none" w:sz="0" w:space="0" w:color="auto"/>
      </w:divBdr>
    </w:div>
    <w:div w:id="2028213569">
      <w:bodyDiv w:val="1"/>
      <w:marLeft w:val="0"/>
      <w:marRight w:val="0"/>
      <w:marTop w:val="0"/>
      <w:marBottom w:val="0"/>
      <w:divBdr>
        <w:top w:val="none" w:sz="0" w:space="0" w:color="auto"/>
        <w:left w:val="none" w:sz="0" w:space="0" w:color="auto"/>
        <w:bottom w:val="none" w:sz="0" w:space="0" w:color="auto"/>
        <w:right w:val="none" w:sz="0" w:space="0" w:color="auto"/>
      </w:divBdr>
    </w:div>
    <w:div w:id="2103213685">
      <w:bodyDiv w:val="1"/>
      <w:marLeft w:val="0"/>
      <w:marRight w:val="0"/>
      <w:marTop w:val="0"/>
      <w:marBottom w:val="0"/>
      <w:divBdr>
        <w:top w:val="none" w:sz="0" w:space="0" w:color="auto"/>
        <w:left w:val="none" w:sz="0" w:space="0" w:color="auto"/>
        <w:bottom w:val="none" w:sz="0" w:space="0" w:color="auto"/>
        <w:right w:val="none" w:sz="0" w:space="0" w:color="auto"/>
      </w:divBdr>
    </w:div>
    <w:div w:id="2117361205">
      <w:bodyDiv w:val="1"/>
      <w:marLeft w:val="0"/>
      <w:marRight w:val="0"/>
      <w:marTop w:val="0"/>
      <w:marBottom w:val="0"/>
      <w:divBdr>
        <w:top w:val="none" w:sz="0" w:space="0" w:color="auto"/>
        <w:left w:val="none" w:sz="0" w:space="0" w:color="auto"/>
        <w:bottom w:val="none" w:sz="0" w:space="0" w:color="auto"/>
        <w:right w:val="none" w:sz="0" w:space="0" w:color="auto"/>
      </w:divBdr>
    </w:div>
    <w:div w:id="213709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fm.gov.lv/lv/interaktivie-budzeta-riki"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fontTable" Target="fontTable.xml"/><Relationship Id="rId27" Type="http://schemas.microsoft.com/office/2016/09/relationships/commentsIds" Target="commentsIds.xml"/></Relationships>
</file>

<file path=word/charts/_rels/chart1.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866781348782871E-2"/>
          <c:y val="2.4898742423384128E-2"/>
          <c:w val="0.88561889629123425"/>
          <c:h val="0.67217824165864148"/>
        </c:manualLayout>
      </c:layout>
      <c:barChart>
        <c:barDir val="col"/>
        <c:grouping val="stacked"/>
        <c:varyColors val="0"/>
        <c:ser>
          <c:idx val="0"/>
          <c:order val="0"/>
          <c:tx>
            <c:strRef>
              <c:f>'6.1.-6.3. attēli'!$A$3</c:f>
              <c:strCache>
                <c:ptCount val="1"/>
                <c:pt idx="0">
                  <c:v>Nodokļu ieņēmumi</c:v>
                </c:pt>
              </c:strCache>
            </c:strRef>
          </c:tx>
          <c:spPr>
            <a:solidFill>
              <a:srgbClr val="B9CDE5"/>
            </a:solidFill>
            <a:ln>
              <a:noFill/>
            </a:ln>
            <a:effectLst/>
          </c:spPr>
          <c:invertIfNegative val="0"/>
          <c:dPt>
            <c:idx val="0"/>
            <c:invertIfNegative val="0"/>
            <c:bubble3D val="0"/>
            <c:spPr>
              <a:solidFill>
                <a:srgbClr val="B9CDE5"/>
              </a:solidFill>
              <a:ln>
                <a:noFill/>
              </a:ln>
              <a:effectLst/>
            </c:spPr>
            <c:extLst>
              <c:ext xmlns:c16="http://schemas.microsoft.com/office/drawing/2014/chart" uri="{C3380CC4-5D6E-409C-BE32-E72D297353CC}">
                <c16:uniqueId val="{00000001-6606-47EB-A92E-F2B1B9254AF5}"/>
              </c:ext>
            </c:extLst>
          </c:dPt>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attēli'!$B$3:$K$3</c:f>
              <c:numCache>
                <c:formatCode>#\ ##0.0</c:formatCode>
                <c:ptCount val="10"/>
                <c:pt idx="0">
                  <c:v>5639.8389999999999</c:v>
                </c:pt>
                <c:pt idx="1">
                  <c:v>5950.5730000000003</c:v>
                </c:pt>
                <c:pt idx="2">
                  <c:v>6418.183</c:v>
                </c:pt>
                <c:pt idx="3">
                  <c:v>7025.9669999999996</c:v>
                </c:pt>
                <c:pt idx="4">
                  <c:v>7268.0406409999996</c:v>
                </c:pt>
                <c:pt idx="5">
                  <c:v>7318.1310290000001</c:v>
                </c:pt>
                <c:pt idx="6">
                  <c:v>8347.1982399999997</c:v>
                </c:pt>
                <c:pt idx="7">
                  <c:v>9617.7925209999994</c:v>
                </c:pt>
                <c:pt idx="8">
                  <c:v>10474.793</c:v>
                </c:pt>
                <c:pt idx="9">
                  <c:v>11219.508</c:v>
                </c:pt>
              </c:numCache>
            </c:numRef>
          </c:val>
          <c:extLst>
            <c:ext xmlns:c16="http://schemas.microsoft.com/office/drawing/2014/chart" uri="{C3380CC4-5D6E-409C-BE32-E72D297353CC}">
              <c16:uniqueId val="{00000002-6606-47EB-A92E-F2B1B9254AF5}"/>
            </c:ext>
          </c:extLst>
        </c:ser>
        <c:ser>
          <c:idx val="1"/>
          <c:order val="1"/>
          <c:tx>
            <c:strRef>
              <c:f>'6.1.-6.3. attēli'!$A$4</c:f>
              <c:strCache>
                <c:ptCount val="1"/>
                <c:pt idx="0">
                  <c:v>Nenodokļu ieņēmumi</c:v>
                </c:pt>
              </c:strCache>
            </c:strRef>
          </c:tx>
          <c:spPr>
            <a:solidFill>
              <a:srgbClr val="558ED5"/>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attēli'!$B$4:$K$4</c:f>
              <c:numCache>
                <c:formatCode>#\ ##0.0</c:formatCode>
                <c:ptCount val="10"/>
                <c:pt idx="0">
                  <c:v>459.27699999999999</c:v>
                </c:pt>
                <c:pt idx="1">
                  <c:v>517.70299999999997</c:v>
                </c:pt>
                <c:pt idx="2">
                  <c:v>476.827</c:v>
                </c:pt>
                <c:pt idx="3">
                  <c:v>657.95500000000004</c:v>
                </c:pt>
                <c:pt idx="4">
                  <c:v>575.09333200000003</c:v>
                </c:pt>
                <c:pt idx="5">
                  <c:v>615.65615100000002</c:v>
                </c:pt>
                <c:pt idx="6">
                  <c:v>691.07778399999995</c:v>
                </c:pt>
                <c:pt idx="7">
                  <c:v>762.74035200000003</c:v>
                </c:pt>
                <c:pt idx="8">
                  <c:v>1034.8019999999999</c:v>
                </c:pt>
                <c:pt idx="9">
                  <c:v>1198.46</c:v>
                </c:pt>
              </c:numCache>
            </c:numRef>
          </c:val>
          <c:extLst>
            <c:ext xmlns:c16="http://schemas.microsoft.com/office/drawing/2014/chart" uri="{C3380CC4-5D6E-409C-BE32-E72D297353CC}">
              <c16:uniqueId val="{00000003-6606-47EB-A92E-F2B1B9254AF5}"/>
            </c:ext>
          </c:extLst>
        </c:ser>
        <c:ser>
          <c:idx val="2"/>
          <c:order val="2"/>
          <c:tx>
            <c:strRef>
              <c:f>'6.1.-6.3. attēli'!$A$5</c:f>
              <c:strCache>
                <c:ptCount val="1"/>
                <c:pt idx="0">
                  <c:v>Maksas pakalpojumi un citi pašu ieņēmumi</c:v>
                </c:pt>
              </c:strCache>
            </c:strRef>
          </c:tx>
          <c:spPr>
            <a:solidFill>
              <a:srgbClr val="17375E"/>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attēli'!$B$5:$K$5</c:f>
              <c:numCache>
                <c:formatCode>#\ ##0.0</c:formatCode>
                <c:ptCount val="10"/>
                <c:pt idx="0">
                  <c:v>183.37899999999999</c:v>
                </c:pt>
                <c:pt idx="1">
                  <c:v>203.84200000000001</c:v>
                </c:pt>
                <c:pt idx="2">
                  <c:v>212.59100000000001</c:v>
                </c:pt>
                <c:pt idx="3">
                  <c:v>241.57900000000001</c:v>
                </c:pt>
                <c:pt idx="4">
                  <c:v>263.20879300000001</c:v>
                </c:pt>
                <c:pt idx="5">
                  <c:v>242.95242300000001</c:v>
                </c:pt>
                <c:pt idx="6">
                  <c:v>268.63403799999998</c:v>
                </c:pt>
                <c:pt idx="7">
                  <c:v>290.132204</c:v>
                </c:pt>
                <c:pt idx="8">
                  <c:v>323.63499999999999</c:v>
                </c:pt>
                <c:pt idx="9">
                  <c:v>355.74400000000003</c:v>
                </c:pt>
              </c:numCache>
            </c:numRef>
          </c:val>
          <c:extLst>
            <c:ext xmlns:c16="http://schemas.microsoft.com/office/drawing/2014/chart" uri="{C3380CC4-5D6E-409C-BE32-E72D297353CC}">
              <c16:uniqueId val="{00000004-6606-47EB-A92E-F2B1B9254AF5}"/>
            </c:ext>
          </c:extLst>
        </c:ser>
        <c:ser>
          <c:idx val="3"/>
          <c:order val="3"/>
          <c:tx>
            <c:strRef>
              <c:f>'6.1.-6.3. attēli'!$A$6</c:f>
              <c:strCache>
                <c:ptCount val="1"/>
                <c:pt idx="0">
                  <c:v>Ārvalstu finanšu palīdzība</c:v>
                </c:pt>
              </c:strCache>
            </c:strRef>
          </c:tx>
          <c:spPr>
            <a:solidFill>
              <a:srgbClr val="D9D9D9"/>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attēli'!$B$6:$K$6</c:f>
              <c:numCache>
                <c:formatCode>#\ ##0.0</c:formatCode>
                <c:ptCount val="10"/>
                <c:pt idx="0">
                  <c:v>1003.256</c:v>
                </c:pt>
                <c:pt idx="1">
                  <c:v>748.78899999999999</c:v>
                </c:pt>
                <c:pt idx="2">
                  <c:v>727.85500000000002</c:v>
                </c:pt>
                <c:pt idx="3">
                  <c:v>1128.8969999999999</c:v>
                </c:pt>
                <c:pt idx="4">
                  <c:v>1313.8722029999999</c:v>
                </c:pt>
                <c:pt idx="5">
                  <c:v>1305.9389819999999</c:v>
                </c:pt>
                <c:pt idx="6">
                  <c:v>1364.9947010000001</c:v>
                </c:pt>
                <c:pt idx="7">
                  <c:v>1460.847884</c:v>
                </c:pt>
                <c:pt idx="8">
                  <c:v>1470.7</c:v>
                </c:pt>
                <c:pt idx="9">
                  <c:v>1829.1</c:v>
                </c:pt>
              </c:numCache>
            </c:numRef>
          </c:val>
          <c:extLst>
            <c:ext xmlns:c16="http://schemas.microsoft.com/office/drawing/2014/chart" uri="{C3380CC4-5D6E-409C-BE32-E72D297353CC}">
              <c16:uniqueId val="{00000005-6606-47EB-A92E-F2B1B9254AF5}"/>
            </c:ext>
          </c:extLst>
        </c:ser>
        <c:ser>
          <c:idx val="4"/>
          <c:order val="4"/>
          <c:tx>
            <c:strRef>
              <c:f>'6.1.-6.3. attēli'!$A$7</c:f>
              <c:strCache>
                <c:ptCount val="1"/>
                <c:pt idx="0">
                  <c:v>Transferti</c:v>
                </c:pt>
              </c:strCache>
            </c:strRef>
          </c:tx>
          <c:spPr>
            <a:solidFill>
              <a:srgbClr val="009F9B"/>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attēli'!$B$7:$K$7</c:f>
              <c:numCache>
                <c:formatCode>#\ ##0.0</c:formatCode>
                <c:ptCount val="10"/>
                <c:pt idx="0">
                  <c:v>1.732</c:v>
                </c:pt>
                <c:pt idx="1">
                  <c:v>1.458</c:v>
                </c:pt>
                <c:pt idx="2">
                  <c:v>1.9470000000000001</c:v>
                </c:pt>
                <c:pt idx="3">
                  <c:v>2.0619999999999998</c:v>
                </c:pt>
                <c:pt idx="4">
                  <c:v>3.1196549999999998</c:v>
                </c:pt>
                <c:pt idx="5">
                  <c:v>1.982936</c:v>
                </c:pt>
                <c:pt idx="6">
                  <c:v>2.441182</c:v>
                </c:pt>
                <c:pt idx="7">
                  <c:v>2.4260480000000002</c:v>
                </c:pt>
                <c:pt idx="8">
                  <c:v>1.9510000000000001</c:v>
                </c:pt>
                <c:pt idx="9">
                  <c:v>1.593</c:v>
                </c:pt>
              </c:numCache>
            </c:numRef>
          </c:val>
          <c:extLst>
            <c:ext xmlns:c16="http://schemas.microsoft.com/office/drawing/2014/chart" uri="{C3380CC4-5D6E-409C-BE32-E72D297353CC}">
              <c16:uniqueId val="{00000006-6606-47EB-A92E-F2B1B9254AF5}"/>
            </c:ext>
          </c:extLst>
        </c:ser>
        <c:ser>
          <c:idx val="5"/>
          <c:order val="5"/>
          <c:tx>
            <c:strRef>
              <c:f>'6.1.-6.3. attēli'!$A$8</c:f>
              <c:strCache>
                <c:ptCount val="1"/>
                <c:pt idx="0">
                  <c:v>Ziedojumi un dāvinājumi</c:v>
                </c:pt>
              </c:strCache>
            </c:strRef>
          </c:tx>
          <c:spPr>
            <a:solidFill>
              <a:srgbClr val="8EB4E3"/>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attēli'!$B$8:$K$8</c:f>
              <c:numCache>
                <c:formatCode>#\ ##0.0</c:formatCode>
                <c:ptCount val="10"/>
                <c:pt idx="0">
                  <c:v>2.802</c:v>
                </c:pt>
                <c:pt idx="1">
                  <c:v>2.79</c:v>
                </c:pt>
                <c:pt idx="2">
                  <c:v>3.1360000000000001</c:v>
                </c:pt>
                <c:pt idx="3">
                  <c:v>2.919</c:v>
                </c:pt>
                <c:pt idx="4">
                  <c:v>2.518599</c:v>
                </c:pt>
                <c:pt idx="5">
                  <c:v>2.2667929999999998</c:v>
                </c:pt>
                <c:pt idx="6">
                  <c:v>2.5871369999999998</c:v>
                </c:pt>
                <c:pt idx="7">
                  <c:v>0.825909</c:v>
                </c:pt>
                <c:pt idx="8">
                  <c:v>0.88200000000000001</c:v>
                </c:pt>
                <c:pt idx="9">
                  <c:v>1.07</c:v>
                </c:pt>
              </c:numCache>
            </c:numRef>
          </c:val>
          <c:extLst>
            <c:ext xmlns:c16="http://schemas.microsoft.com/office/drawing/2014/chart" uri="{C3380CC4-5D6E-409C-BE32-E72D297353CC}">
              <c16:uniqueId val="{00000007-6606-47EB-A92E-F2B1B9254AF5}"/>
            </c:ext>
          </c:extLst>
        </c:ser>
        <c:dLbls>
          <c:showLegendKey val="0"/>
          <c:showVal val="0"/>
          <c:showCatName val="0"/>
          <c:showSerName val="0"/>
          <c:showPercent val="0"/>
          <c:showBubbleSize val="0"/>
        </c:dLbls>
        <c:gapWidth val="150"/>
        <c:overlap val="100"/>
        <c:axId val="713630384"/>
        <c:axId val="713629072"/>
      </c:barChart>
      <c:catAx>
        <c:axId val="71363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13629072"/>
        <c:crosses val="autoZero"/>
        <c:auto val="1"/>
        <c:lblAlgn val="ctr"/>
        <c:lblOffset val="100"/>
        <c:noMultiLvlLbl val="0"/>
      </c:catAx>
      <c:valAx>
        <c:axId val="713629072"/>
        <c:scaling>
          <c:orientation val="minMax"/>
          <c:max val="160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13630384"/>
        <c:crosses val="autoZero"/>
        <c:crossBetween val="between"/>
      </c:valAx>
      <c:spPr>
        <a:noFill/>
        <a:ln>
          <a:noFill/>
        </a:ln>
        <a:effectLst/>
      </c:spPr>
    </c:plotArea>
    <c:legend>
      <c:legendPos val="b"/>
      <c:layout>
        <c:manualLayout>
          <c:xMode val="edge"/>
          <c:yMode val="edge"/>
          <c:x val="3.1587270341207348E-2"/>
          <c:y val="0.77242307646491237"/>
          <c:w val="0.94515879265091862"/>
          <c:h val="0.22677767235030874"/>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9.8307372758396655E-2"/>
          <c:y val="4.9756586837707499E-2"/>
          <c:w val="0.87113696882374525"/>
          <c:h val="0.73231084957874926"/>
        </c:manualLayout>
      </c:layout>
      <c:barChart>
        <c:barDir val="col"/>
        <c:grouping val="stacked"/>
        <c:varyColors val="0"/>
        <c:ser>
          <c:idx val="0"/>
          <c:order val="0"/>
          <c:tx>
            <c:strRef>
              <c:f>'6.1.-6.3. attēli'!$A$25</c:f>
              <c:strCache>
                <c:ptCount val="1"/>
                <c:pt idx="0">
                  <c:v>Uzturēšanas izdevumi</c:v>
                </c:pt>
              </c:strCache>
            </c:strRef>
          </c:tx>
          <c:spPr>
            <a:solidFill>
              <a:srgbClr val="B9CDE5"/>
            </a:solidFill>
            <a:ln>
              <a:noFill/>
            </a:ln>
            <a:effectLst/>
          </c:spPr>
          <c:invertIfNegative val="0"/>
          <c:cat>
            <c:numRef>
              <c:f>'6.1.-6.3. attēli'!$B$27:$K$27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attēli'!$B$25:$K$25</c:f>
              <c:numCache>
                <c:formatCode>#\ ##0.0</c:formatCode>
                <c:ptCount val="10"/>
                <c:pt idx="0">
                  <c:v>7032.4110000000001</c:v>
                </c:pt>
                <c:pt idx="1">
                  <c:v>7197.1220000000003</c:v>
                </c:pt>
                <c:pt idx="2">
                  <c:v>7494.0569999999998</c:v>
                </c:pt>
                <c:pt idx="3">
                  <c:v>8395.8960000000006</c:v>
                </c:pt>
                <c:pt idx="4">
                  <c:v>8814.4300349999994</c:v>
                </c:pt>
                <c:pt idx="5">
                  <c:v>9750.7285570000004</c:v>
                </c:pt>
                <c:pt idx="6">
                  <c:v>11593.628363</c:v>
                </c:pt>
                <c:pt idx="7">
                  <c:v>12742.948234</c:v>
                </c:pt>
                <c:pt idx="8">
                  <c:v>13414.933999999999</c:v>
                </c:pt>
                <c:pt idx="9">
                  <c:v>14058.527</c:v>
                </c:pt>
              </c:numCache>
            </c:numRef>
          </c:val>
          <c:extLst>
            <c:ext xmlns:c16="http://schemas.microsoft.com/office/drawing/2014/chart" uri="{C3380CC4-5D6E-409C-BE32-E72D297353CC}">
              <c16:uniqueId val="{00000000-311D-44C6-9CC6-25394AA2C37F}"/>
            </c:ext>
          </c:extLst>
        </c:ser>
        <c:ser>
          <c:idx val="1"/>
          <c:order val="1"/>
          <c:tx>
            <c:strRef>
              <c:f>'6.1.-6.3. attēli'!$A$26</c:f>
              <c:strCache>
                <c:ptCount val="1"/>
                <c:pt idx="0">
                  <c:v>Kapitālie izdevumi</c:v>
                </c:pt>
              </c:strCache>
            </c:strRef>
          </c:tx>
          <c:spPr>
            <a:solidFill>
              <a:srgbClr val="558ED5"/>
            </a:solidFill>
            <a:ln>
              <a:noFill/>
            </a:ln>
            <a:effectLst/>
          </c:spPr>
          <c:invertIfNegative val="0"/>
          <c:cat>
            <c:numRef>
              <c:f>'6.1.-6.3. attēli'!$B$27:$K$27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attēli'!$B$26:$K$26</c:f>
              <c:numCache>
                <c:formatCode>#\ ##0.0</c:formatCode>
                <c:ptCount val="10"/>
                <c:pt idx="0">
                  <c:v>605.17200000000003</c:v>
                </c:pt>
                <c:pt idx="1">
                  <c:v>385.65600000000001</c:v>
                </c:pt>
                <c:pt idx="2">
                  <c:v>554.15300000000002</c:v>
                </c:pt>
                <c:pt idx="3">
                  <c:v>727.93600000000004</c:v>
                </c:pt>
                <c:pt idx="4">
                  <c:v>779.37080000000003</c:v>
                </c:pt>
                <c:pt idx="5">
                  <c:v>821.44713400000001</c:v>
                </c:pt>
                <c:pt idx="6">
                  <c:v>837.20069799999999</c:v>
                </c:pt>
                <c:pt idx="7">
                  <c:v>878.58250899999996</c:v>
                </c:pt>
                <c:pt idx="8">
                  <c:v>1065.8720000000001</c:v>
                </c:pt>
                <c:pt idx="9">
                  <c:v>1198.9960000000001</c:v>
                </c:pt>
              </c:numCache>
            </c:numRef>
          </c:val>
          <c:extLst>
            <c:ext xmlns:c16="http://schemas.microsoft.com/office/drawing/2014/chart" uri="{C3380CC4-5D6E-409C-BE32-E72D297353CC}">
              <c16:uniqueId val="{00000001-311D-44C6-9CC6-25394AA2C37F}"/>
            </c:ext>
          </c:extLst>
        </c:ser>
        <c:dLbls>
          <c:showLegendKey val="0"/>
          <c:showVal val="0"/>
          <c:showCatName val="0"/>
          <c:showSerName val="0"/>
          <c:showPercent val="0"/>
          <c:showBubbleSize val="0"/>
        </c:dLbls>
        <c:gapWidth val="150"/>
        <c:overlap val="100"/>
        <c:axId val="686613984"/>
        <c:axId val="686614312"/>
      </c:barChart>
      <c:catAx>
        <c:axId val="686613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86614312"/>
        <c:crosses val="autoZero"/>
        <c:auto val="1"/>
        <c:lblAlgn val="ctr"/>
        <c:lblOffset val="100"/>
        <c:noMultiLvlLbl val="0"/>
      </c:catAx>
      <c:valAx>
        <c:axId val="686614312"/>
        <c:scaling>
          <c:orientation val="minMax"/>
          <c:max val="160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866139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9962010146337525"/>
          <c:y val="1.7654780202576111E-2"/>
          <c:w val="0.65412603138160519"/>
          <c:h val="0.90570156026966053"/>
        </c:manualLayout>
      </c:layout>
      <c:barChart>
        <c:barDir val="bar"/>
        <c:grouping val="clustered"/>
        <c:varyColors val="0"/>
        <c:ser>
          <c:idx val="0"/>
          <c:order val="0"/>
          <c:tx>
            <c:strRef>
              <c:f>'6.4.attēls_funkc'!$C$17</c:f>
              <c:strCache>
                <c:ptCount val="1"/>
                <c:pt idx="0">
                  <c:v>2023</c:v>
                </c:pt>
              </c:strCache>
            </c:strRef>
          </c:tx>
          <c:spPr>
            <a:solidFill>
              <a:srgbClr val="B9CDE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'6.4.attēls_funkc'!$B$18:$B$27</c:f>
              <c:strCache>
                <c:ptCount val="10"/>
                <c:pt idx="0">
                  <c:v>Teritoriju un mājokļu apsaimniekošana</c:v>
                </c:pt>
                <c:pt idx="1">
                  <c:v>Vides aizsardzība</c:v>
                </c:pt>
                <c:pt idx="2">
                  <c:v>Atpūta, kultūra un reliģija</c:v>
                </c:pt>
                <c:pt idx="3">
                  <c:v>Sabiedriskā kārtība un drošība</c:v>
                </c:pt>
                <c:pt idx="4">
                  <c:v>Aizsardzība</c:v>
                </c:pt>
                <c:pt idx="5">
                  <c:v>Izglītība</c:v>
                </c:pt>
                <c:pt idx="6">
                  <c:v>Vispārējie valdības dienesti</c:v>
                </c:pt>
                <c:pt idx="7">
                  <c:v>Veselība</c:v>
                </c:pt>
                <c:pt idx="8">
                  <c:v>Ekonomiskā darbība</c:v>
                </c:pt>
                <c:pt idx="9">
                  <c:v>Sociālā aizsardzība</c:v>
                </c:pt>
              </c:strCache>
            </c:strRef>
          </c:cat>
          <c:val>
            <c:numRef>
              <c:f>'6.4.attēls_funkc'!$C$18:$C$27</c:f>
              <c:numCache>
                <c:formatCode>#\ ##0.0</c:formatCode>
                <c:ptCount val="10"/>
                <c:pt idx="0">
                  <c:v>62.935118000000003</c:v>
                </c:pt>
                <c:pt idx="1">
                  <c:v>69.087616999999995</c:v>
                </c:pt>
                <c:pt idx="2">
                  <c:v>243.04953699999999</c:v>
                </c:pt>
                <c:pt idx="3">
                  <c:v>922.42181300000004</c:v>
                </c:pt>
                <c:pt idx="4">
                  <c:v>1188.202466</c:v>
                </c:pt>
                <c:pt idx="5">
                  <c:v>1333.438427</c:v>
                </c:pt>
                <c:pt idx="6">
                  <c:v>1776.230143</c:v>
                </c:pt>
                <c:pt idx="7">
                  <c:v>1753.622374</c:v>
                </c:pt>
                <c:pt idx="8">
                  <c:v>2299.9638260000002</c:v>
                </c:pt>
                <c:pt idx="9">
                  <c:v>4831.8551470000002</c:v>
                </c:pt>
              </c:numCache>
            </c:numRef>
          </c:val>
          <c:extLst>
            <c:ext xmlns:c16="http://schemas.microsoft.com/office/drawing/2014/chart" uri="{C3380CC4-5D6E-409C-BE32-E72D297353CC}">
              <c16:uniqueId val="{00000000-6E5F-4CC9-9757-E3D8B8D44631}"/>
            </c:ext>
          </c:extLst>
        </c:ser>
        <c:ser>
          <c:idx val="1"/>
          <c:order val="1"/>
          <c:tx>
            <c:strRef>
              <c:f>'6.4.attēls_funkc'!$D$17</c:f>
              <c:strCache>
                <c:ptCount val="1"/>
                <c:pt idx="0">
                  <c:v>2024</c:v>
                </c:pt>
              </c:strCache>
            </c:strRef>
          </c:tx>
          <c:spPr>
            <a:solidFill>
              <a:srgbClr val="558ED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'6.4.attēls_funkc'!$B$18:$B$27</c:f>
              <c:strCache>
                <c:ptCount val="10"/>
                <c:pt idx="0">
                  <c:v>Teritoriju un mājokļu apsaimniekošana</c:v>
                </c:pt>
                <c:pt idx="1">
                  <c:v>Vides aizsardzība</c:v>
                </c:pt>
                <c:pt idx="2">
                  <c:v>Atpūta, kultūra un reliģija</c:v>
                </c:pt>
                <c:pt idx="3">
                  <c:v>Sabiedriskā kārtība un drošība</c:v>
                </c:pt>
                <c:pt idx="4">
                  <c:v>Aizsardzība</c:v>
                </c:pt>
                <c:pt idx="5">
                  <c:v>Izglītība</c:v>
                </c:pt>
                <c:pt idx="6">
                  <c:v>Vispārējie valdības dienesti</c:v>
                </c:pt>
                <c:pt idx="7">
                  <c:v>Veselība</c:v>
                </c:pt>
                <c:pt idx="8">
                  <c:v>Ekonomiskā darbība</c:v>
                </c:pt>
                <c:pt idx="9">
                  <c:v>Sociālā aizsardzība</c:v>
                </c:pt>
              </c:strCache>
            </c:strRef>
          </c:cat>
          <c:val>
            <c:numRef>
              <c:f>'6.4.attēls_funkc'!$D$18:$D$27</c:f>
              <c:numCache>
                <c:formatCode>#\ ##0.0</c:formatCode>
                <c:ptCount val="10"/>
                <c:pt idx="0">
                  <c:v>46.218992</c:v>
                </c:pt>
                <c:pt idx="1">
                  <c:v>59.084294999999997</c:v>
                </c:pt>
                <c:pt idx="2">
                  <c:v>265.33398899999997</c:v>
                </c:pt>
                <c:pt idx="3">
                  <c:v>1251.199916</c:v>
                </c:pt>
                <c:pt idx="4">
                  <c:v>1353.05297</c:v>
                </c:pt>
                <c:pt idx="5">
                  <c:v>1438.3940809999999</c:v>
                </c:pt>
                <c:pt idx="6">
                  <c:v>1767.840545</c:v>
                </c:pt>
                <c:pt idx="7">
                  <c:v>1880.2964099999999</c:v>
                </c:pt>
                <c:pt idx="8">
                  <c:v>2035.752158</c:v>
                </c:pt>
                <c:pt idx="9">
                  <c:v>5160.3492820000001</c:v>
                </c:pt>
              </c:numCache>
            </c:numRef>
          </c:val>
          <c:extLst>
            <c:ext xmlns:c16="http://schemas.microsoft.com/office/drawing/2014/chart" uri="{C3380CC4-5D6E-409C-BE32-E72D297353CC}">
              <c16:uniqueId val="{00000001-6E5F-4CC9-9757-E3D8B8D44631}"/>
            </c:ext>
          </c:extLst>
        </c:ser>
        <c:dLbls>
          <c:showLegendKey val="0"/>
          <c:showVal val="0"/>
          <c:showCatName val="0"/>
          <c:showSerName val="0"/>
          <c:showPercent val="0"/>
          <c:showBubbleSize val="0"/>
        </c:dLbls>
        <c:gapWidth val="80"/>
        <c:axId val="660399344"/>
        <c:axId val="660398360"/>
      </c:barChart>
      <c:catAx>
        <c:axId val="660399344"/>
        <c:scaling>
          <c:orientation val="minMax"/>
        </c:scaling>
        <c:delete val="0"/>
        <c:axPos val="l"/>
        <c:numFmt formatCode="General" sourceLinked="1"/>
        <c:majorTickMark val="none"/>
        <c:minorTickMark val="none"/>
        <c:tickLblPos val="nextTo"/>
        <c:spPr>
          <a:noFill/>
          <a:ln w="6350" cap="flat" cmpd="sng" algn="ctr">
            <a:solidFill>
              <a:srgbClr val="D9D9D9"/>
            </a:solidFill>
            <a:round/>
          </a:ln>
          <a:effectLst/>
        </c:spPr>
        <c:txPr>
          <a:bodyPr rot="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98360"/>
        <c:crosses val="autoZero"/>
        <c:auto val="1"/>
        <c:lblAlgn val="ctr"/>
        <c:lblOffset val="100"/>
        <c:tickLblSkip val="1"/>
        <c:noMultiLvlLbl val="0"/>
      </c:catAx>
      <c:valAx>
        <c:axId val="660398360"/>
        <c:scaling>
          <c:orientation val="minMax"/>
        </c:scaling>
        <c:delete val="0"/>
        <c:axPos val="b"/>
        <c:majorGridlines>
          <c:spPr>
            <a:ln w="6350" cap="flat" cmpd="sng" algn="ctr">
              <a:solidFill>
                <a:srgbClr val="C3C4C6"/>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99344"/>
        <c:crosses val="autoZero"/>
        <c:crossBetween val="between"/>
      </c:valAx>
      <c:spPr>
        <a:noFill/>
        <a:ln>
          <a:noFill/>
        </a:ln>
        <a:effectLst/>
      </c:spPr>
    </c:plotArea>
    <c:legend>
      <c:legendPos val="r"/>
      <c:layout>
        <c:manualLayout>
          <c:xMode val="edge"/>
          <c:yMode val="edge"/>
          <c:x val="0.90829633095777518"/>
          <c:y val="0.18752244310807303"/>
          <c:w val="8.9232224552520931E-2"/>
          <c:h val="0.11147167301202734"/>
        </c:manualLayout>
      </c:layout>
      <c:overlay val="0"/>
      <c:spPr>
        <a:solidFill>
          <a:schemeClr val="bg1"/>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4"/>
          <c:order val="4"/>
          <c:tx>
            <c:strRef>
              <c:f>'6.1.-6.3. attēli'!$L$39</c:f>
              <c:strCache>
                <c:ptCount val="1"/>
                <c:pt idx="0">
                  <c:v>Kopbudžets</c:v>
                </c:pt>
              </c:strCache>
            </c:strRef>
          </c:tx>
          <c:spPr>
            <a:solidFill>
              <a:srgbClr val="B9CDE5"/>
            </a:solidFill>
            <a:ln>
              <a:noFill/>
            </a:ln>
            <a:effectLst/>
          </c:spPr>
          <c:invertIfNegative val="0"/>
          <c:val>
            <c:numRef>
              <c:f>'6.1.-6.3. attēli'!$L$40:$L$49</c:f>
              <c:numCache>
                <c:formatCode>#\ ##0.0</c:formatCode>
                <c:ptCount val="10"/>
                <c:pt idx="0">
                  <c:v>-347.298</c:v>
                </c:pt>
                <c:pt idx="1">
                  <c:v>-157.62299999999999</c:v>
                </c:pt>
                <c:pt idx="2">
                  <c:v>-207.67099999999999</c:v>
                </c:pt>
                <c:pt idx="3">
                  <c:v>-64.453000000000003</c:v>
                </c:pt>
                <c:pt idx="4">
                  <c:v>-167.94761200000201</c:v>
                </c:pt>
                <c:pt idx="5">
                  <c:v>-1085.2473769999999</c:v>
                </c:pt>
                <c:pt idx="6">
                  <c:v>-1753.8959789999999</c:v>
                </c:pt>
                <c:pt idx="7">
                  <c:v>-1486.7658249999999</c:v>
                </c:pt>
                <c:pt idx="8">
                  <c:v>-1174.0429999999999</c:v>
                </c:pt>
                <c:pt idx="9">
                  <c:v>-652.048</c:v>
                </c:pt>
              </c:numCache>
            </c:numRef>
          </c:val>
          <c:extLst>
            <c:ext xmlns:c16="http://schemas.microsoft.com/office/drawing/2014/chart" uri="{C3380CC4-5D6E-409C-BE32-E72D297353CC}">
              <c16:uniqueId val="{00000000-B310-4266-B78B-2FEF3D7E45B1}"/>
            </c:ext>
          </c:extLst>
        </c:ser>
        <c:dLbls>
          <c:showLegendKey val="0"/>
          <c:showVal val="0"/>
          <c:showCatName val="0"/>
          <c:showSerName val="0"/>
          <c:showPercent val="0"/>
          <c:showBubbleSize val="0"/>
        </c:dLbls>
        <c:gapWidth val="150"/>
        <c:axId val="703214280"/>
        <c:axId val="703216248"/>
      </c:barChart>
      <c:lineChart>
        <c:grouping val="standard"/>
        <c:varyColors val="0"/>
        <c:ser>
          <c:idx val="0"/>
          <c:order val="0"/>
          <c:tx>
            <c:strRef>
              <c:f>'6.1.-6.3. attēli'!$H$39</c:f>
              <c:strCache>
                <c:ptCount val="1"/>
                <c:pt idx="0">
                  <c:v>Pamatbudžets</c:v>
                </c:pt>
              </c:strCache>
            </c:strRef>
          </c:tx>
          <c:spPr>
            <a:ln w="28575" cap="rnd">
              <a:solidFill>
                <a:srgbClr val="558ED5"/>
              </a:solidFill>
              <a:round/>
            </a:ln>
            <a:effectLst/>
          </c:spPr>
          <c:marker>
            <c:symbol val="none"/>
          </c:marker>
          <c:cat>
            <c:numRef>
              <c:f>'6.1.-6.3. attēli'!$G$40:$G$49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attēli'!$H$40:$H$49</c:f>
              <c:numCache>
                <c:formatCode>#\ ##0.0</c:formatCode>
                <c:ptCount val="10"/>
                <c:pt idx="0">
                  <c:v>-386.32302399999998</c:v>
                </c:pt>
                <c:pt idx="1">
                  <c:v>-239.01343900000001</c:v>
                </c:pt>
                <c:pt idx="2">
                  <c:v>-356.95983799999999</c:v>
                </c:pt>
                <c:pt idx="3">
                  <c:v>-301.89390300000002</c:v>
                </c:pt>
                <c:pt idx="4">
                  <c:v>-629.91082400000005</c:v>
                </c:pt>
                <c:pt idx="5">
                  <c:v>-706.48108200000001</c:v>
                </c:pt>
                <c:pt idx="6">
                  <c:v>-1336.6947070000001</c:v>
                </c:pt>
                <c:pt idx="7">
                  <c:v>-1204.8120269999999</c:v>
                </c:pt>
                <c:pt idx="8">
                  <c:v>-784.76998300000002</c:v>
                </c:pt>
                <c:pt idx="9">
                  <c:v>-332.487865</c:v>
                </c:pt>
              </c:numCache>
            </c:numRef>
          </c:val>
          <c:smooth val="0"/>
          <c:extLst>
            <c:ext xmlns:c16="http://schemas.microsoft.com/office/drawing/2014/chart" uri="{C3380CC4-5D6E-409C-BE32-E72D297353CC}">
              <c16:uniqueId val="{00000001-B310-4266-B78B-2FEF3D7E45B1}"/>
            </c:ext>
          </c:extLst>
        </c:ser>
        <c:ser>
          <c:idx val="1"/>
          <c:order val="1"/>
          <c:tx>
            <c:strRef>
              <c:f>'6.1.-6.3. attēli'!$I$39</c:f>
              <c:strCache>
                <c:ptCount val="1"/>
                <c:pt idx="0">
                  <c:v>Speciālais budžets</c:v>
                </c:pt>
              </c:strCache>
            </c:strRef>
          </c:tx>
          <c:spPr>
            <a:ln w="28575" cap="rnd">
              <a:solidFill>
                <a:srgbClr val="17375E"/>
              </a:solidFill>
              <a:round/>
            </a:ln>
            <a:effectLst/>
          </c:spPr>
          <c:marker>
            <c:symbol val="none"/>
          </c:marker>
          <c:val>
            <c:numRef>
              <c:f>'6.1.-6.3. attēli'!$I$40:$I$49</c:f>
              <c:numCache>
                <c:formatCode>#\ ##0.0</c:formatCode>
                <c:ptCount val="10"/>
                <c:pt idx="0">
                  <c:v>91.131951999999998</c:v>
                </c:pt>
                <c:pt idx="1">
                  <c:v>47.822462000000002</c:v>
                </c:pt>
                <c:pt idx="2">
                  <c:v>113.839764</c:v>
                </c:pt>
                <c:pt idx="3">
                  <c:v>202.23173</c:v>
                </c:pt>
                <c:pt idx="4">
                  <c:v>223.79371900000001</c:v>
                </c:pt>
                <c:pt idx="5">
                  <c:v>-108.142284</c:v>
                </c:pt>
                <c:pt idx="6">
                  <c:v>-119.451459</c:v>
                </c:pt>
                <c:pt idx="7">
                  <c:v>46.846817999999999</c:v>
                </c:pt>
                <c:pt idx="8">
                  <c:v>-22.319006999999999</c:v>
                </c:pt>
                <c:pt idx="9">
                  <c:v>38.181938000000002</c:v>
                </c:pt>
              </c:numCache>
            </c:numRef>
          </c:val>
          <c:smooth val="0"/>
          <c:extLst>
            <c:ext xmlns:c16="http://schemas.microsoft.com/office/drawing/2014/chart" uri="{C3380CC4-5D6E-409C-BE32-E72D297353CC}">
              <c16:uniqueId val="{00000002-B310-4266-B78B-2FEF3D7E45B1}"/>
            </c:ext>
          </c:extLst>
        </c:ser>
        <c:ser>
          <c:idx val="2"/>
          <c:order val="2"/>
          <c:tx>
            <c:strRef>
              <c:f>'6.1.-6.3. attēli'!$J$39</c:f>
              <c:strCache>
                <c:ptCount val="1"/>
                <c:pt idx="0">
                  <c:v>Ziedojumi un dāvinājumi </c:v>
                </c:pt>
              </c:strCache>
            </c:strRef>
          </c:tx>
          <c:spPr>
            <a:ln w="28575" cap="rnd">
              <a:solidFill>
                <a:srgbClr val="009F9B"/>
              </a:solidFill>
              <a:round/>
            </a:ln>
            <a:effectLst/>
          </c:spPr>
          <c:marker>
            <c:symbol val="none"/>
          </c:marker>
          <c:val>
            <c:numRef>
              <c:f>'6.1.-6.3. attēli'!$J$40:$J$49</c:f>
              <c:numCache>
                <c:formatCode>#\ ##0.0</c:formatCode>
                <c:ptCount val="10"/>
                <c:pt idx="0">
                  <c:v>-0.34290300000000001</c:v>
                </c:pt>
                <c:pt idx="1">
                  <c:v>0.24559300000000001</c:v>
                </c:pt>
                <c:pt idx="2">
                  <c:v>-3.4749999999999998E-3</c:v>
                </c:pt>
                <c:pt idx="3">
                  <c:v>6.1039999999999997E-2</c:v>
                </c:pt>
                <c:pt idx="4">
                  <c:v>-0.37998300000000002</c:v>
                </c:pt>
                <c:pt idx="5">
                  <c:v>0.44283800000000001</c:v>
                </c:pt>
                <c:pt idx="6">
                  <c:v>0.62236100000000005</c:v>
                </c:pt>
                <c:pt idx="7">
                  <c:v>-1.169224</c:v>
                </c:pt>
                <c:pt idx="8">
                  <c:v>-0.26399</c:v>
                </c:pt>
                <c:pt idx="9">
                  <c:v>0.10191</c:v>
                </c:pt>
              </c:numCache>
            </c:numRef>
          </c:val>
          <c:smooth val="0"/>
          <c:extLst>
            <c:ext xmlns:c16="http://schemas.microsoft.com/office/drawing/2014/chart" uri="{C3380CC4-5D6E-409C-BE32-E72D297353CC}">
              <c16:uniqueId val="{00000003-B310-4266-B78B-2FEF3D7E45B1}"/>
            </c:ext>
          </c:extLst>
        </c:ser>
        <c:ser>
          <c:idx val="3"/>
          <c:order val="3"/>
          <c:tx>
            <c:strRef>
              <c:f>'6.1.-6.3. attēli'!$K$39</c:f>
              <c:strCache>
                <c:ptCount val="1"/>
                <c:pt idx="0">
                  <c:v>No valsts budžeta daļēji atvasinātas publiskas personas un budžeta nefinansētas iestādes </c:v>
                </c:pt>
              </c:strCache>
            </c:strRef>
          </c:tx>
          <c:spPr>
            <a:ln w="28575" cap="rnd">
              <a:solidFill>
                <a:srgbClr val="D9D9D9"/>
              </a:solidFill>
              <a:round/>
            </a:ln>
            <a:effectLst/>
          </c:spPr>
          <c:marker>
            <c:symbol val="none"/>
          </c:marker>
          <c:val>
            <c:numRef>
              <c:f>'6.1.-6.3. attēli'!$K$40:$K$49</c:f>
              <c:numCache>
                <c:formatCode>#\ ##0.0</c:formatCode>
                <c:ptCount val="10"/>
                <c:pt idx="0">
                  <c:v>-51.834083999999997</c:v>
                </c:pt>
                <c:pt idx="1">
                  <c:v>33.687365</c:v>
                </c:pt>
                <c:pt idx="2">
                  <c:v>35.641849000000001</c:v>
                </c:pt>
                <c:pt idx="3">
                  <c:v>35.323987000000002</c:v>
                </c:pt>
                <c:pt idx="4">
                  <c:v>-13.117406000000001</c:v>
                </c:pt>
                <c:pt idx="5">
                  <c:v>-271.06684899999999</c:v>
                </c:pt>
                <c:pt idx="6">
                  <c:v>-298.37217399999997</c:v>
                </c:pt>
                <c:pt idx="7">
                  <c:v>-327.63139200000001</c:v>
                </c:pt>
                <c:pt idx="8">
                  <c:v>-366.69073600000002</c:v>
                </c:pt>
                <c:pt idx="9">
                  <c:v>-357.84394600000002</c:v>
                </c:pt>
              </c:numCache>
            </c:numRef>
          </c:val>
          <c:smooth val="0"/>
          <c:extLst>
            <c:ext xmlns:c16="http://schemas.microsoft.com/office/drawing/2014/chart" uri="{C3380CC4-5D6E-409C-BE32-E72D297353CC}">
              <c16:uniqueId val="{00000004-B310-4266-B78B-2FEF3D7E45B1}"/>
            </c:ext>
          </c:extLst>
        </c:ser>
        <c:dLbls>
          <c:showLegendKey val="0"/>
          <c:showVal val="0"/>
          <c:showCatName val="0"/>
          <c:showSerName val="0"/>
          <c:showPercent val="0"/>
          <c:showBubbleSize val="0"/>
        </c:dLbls>
        <c:marker val="1"/>
        <c:smooth val="0"/>
        <c:axId val="703214280"/>
        <c:axId val="703216248"/>
      </c:lineChart>
      <c:catAx>
        <c:axId val="70321428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03216248"/>
        <c:crosses val="autoZero"/>
        <c:auto val="1"/>
        <c:lblAlgn val="ctr"/>
        <c:lblOffset val="100"/>
        <c:noMultiLvlLbl val="0"/>
      </c:catAx>
      <c:valAx>
        <c:axId val="703216248"/>
        <c:scaling>
          <c:orientation val="minMax"/>
          <c:max val="300"/>
          <c:min val="-18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03214280"/>
        <c:crosses val="autoZero"/>
        <c:crossBetween val="between"/>
        <c:majorUnit val="3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45360726873655544"/>
          <c:y val="2.1589001508680223E-2"/>
          <c:w val="0.50951799847165324"/>
          <c:h val="0.84598032341004226"/>
        </c:manualLayout>
      </c:layout>
      <c:barChart>
        <c:barDir val="bar"/>
        <c:grouping val="clustered"/>
        <c:varyColors val="0"/>
        <c:ser>
          <c:idx val="0"/>
          <c:order val="0"/>
          <c:tx>
            <c:strRef>
              <c:f>'6.5.attēls'!$C$2</c:f>
              <c:strCache>
                <c:ptCount val="1"/>
                <c:pt idx="0">
                  <c:v>2023</c:v>
                </c:pt>
              </c:strCache>
            </c:strRef>
          </c:tx>
          <c:spPr>
            <a:solidFill>
              <a:srgbClr val="B9CDE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'6.5.attēls'!$B$3:$B$9</c:f>
              <c:strCache>
                <c:ptCount val="7"/>
                <c:pt idx="0">
                  <c:v>Transportlīdzekļa ekspluatācijas nodoklis</c:v>
                </c:pt>
                <c:pt idx="1">
                  <c:v>Ieņēmumi valsts pamatbudžetā no valsts sociālās apdrošināšanas obligāto iemaksu sadales veselības aprūpes finansēšanai</c:v>
                </c:pt>
                <c:pt idx="2">
                  <c:v>Ieņēmumi no iedzīvotāju ienākuma nodokļa un solidaritātes nodokļa</c:v>
                </c:pt>
                <c:pt idx="3">
                  <c:v>Ieņēmumi no juridisko personu ienākuma nodokļa</c:v>
                </c:pt>
                <c:pt idx="4">
                  <c:v>Akcīzes nodoklis</c:v>
                </c:pt>
                <c:pt idx="5">
                  <c:v>Pievienotās vērtības nodoklis</c:v>
                </c:pt>
                <c:pt idx="6">
                  <c:v>Valsts sociālās apdrošināšanas obligātās iemaksas</c:v>
                </c:pt>
              </c:strCache>
            </c:strRef>
          </c:cat>
          <c:val>
            <c:numRef>
              <c:f>'6.5.attēls'!$C$3:$C$9</c:f>
              <c:numCache>
                <c:formatCode>#\ ##0.0</c:formatCode>
                <c:ptCount val="7"/>
                <c:pt idx="0">
                  <c:v>102.53363299999999</c:v>
                </c:pt>
                <c:pt idx="1">
                  <c:v>139.89772400000001</c:v>
                </c:pt>
                <c:pt idx="2">
                  <c:v>625.02116599999999</c:v>
                </c:pt>
                <c:pt idx="3">
                  <c:v>544.80806900000005</c:v>
                </c:pt>
                <c:pt idx="4">
                  <c:v>1154.7688189999999</c:v>
                </c:pt>
                <c:pt idx="5">
                  <c:v>3879.514725</c:v>
                </c:pt>
                <c:pt idx="6">
                  <c:v>3883.632908</c:v>
                </c:pt>
              </c:numCache>
            </c:numRef>
          </c:val>
          <c:extLst>
            <c:ext xmlns:c16="http://schemas.microsoft.com/office/drawing/2014/chart" uri="{C3380CC4-5D6E-409C-BE32-E72D297353CC}">
              <c16:uniqueId val="{00000000-A4B4-4BB4-BCF7-F7EDF633B3BE}"/>
            </c:ext>
          </c:extLst>
        </c:ser>
        <c:ser>
          <c:idx val="1"/>
          <c:order val="1"/>
          <c:tx>
            <c:strRef>
              <c:f>'6.5.attēls'!$D$2</c:f>
              <c:strCache>
                <c:ptCount val="1"/>
                <c:pt idx="0">
                  <c:v>2024</c:v>
                </c:pt>
              </c:strCache>
            </c:strRef>
          </c:tx>
          <c:spPr>
            <a:solidFill>
              <a:srgbClr val="558E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'6.5.attēls'!$B$3:$B$9</c:f>
              <c:strCache>
                <c:ptCount val="7"/>
                <c:pt idx="0">
                  <c:v>Transportlīdzekļa ekspluatācijas nodoklis</c:v>
                </c:pt>
                <c:pt idx="1">
                  <c:v>Ieņēmumi valsts pamatbudžetā no valsts sociālās apdrošināšanas obligāto iemaksu sadales veselības aprūpes finansēšanai</c:v>
                </c:pt>
                <c:pt idx="2">
                  <c:v>Ieņēmumi no iedzīvotāju ienākuma nodokļa un solidaritātes nodokļa</c:v>
                </c:pt>
                <c:pt idx="3">
                  <c:v>Ieņēmumi no juridisko personu ienākuma nodokļa</c:v>
                </c:pt>
                <c:pt idx="4">
                  <c:v>Akcīzes nodoklis</c:v>
                </c:pt>
                <c:pt idx="5">
                  <c:v>Pievienotās vērtības nodoklis</c:v>
                </c:pt>
                <c:pt idx="6">
                  <c:v>Valsts sociālās apdrošināšanas obligātās iemaksas</c:v>
                </c:pt>
              </c:strCache>
            </c:strRef>
          </c:cat>
          <c:val>
            <c:numRef>
              <c:f>'6.5.attēls'!$D$3:$D$9</c:f>
              <c:numCache>
                <c:formatCode>#\ ##0.0</c:formatCode>
                <c:ptCount val="7"/>
                <c:pt idx="0">
                  <c:v>102.322163</c:v>
                </c:pt>
                <c:pt idx="1">
                  <c:v>152.900373</c:v>
                </c:pt>
                <c:pt idx="2">
                  <c:v>702.74233000000004</c:v>
                </c:pt>
                <c:pt idx="3">
                  <c:v>719.42123100000003</c:v>
                </c:pt>
                <c:pt idx="4">
                  <c:v>1190.797646</c:v>
                </c:pt>
                <c:pt idx="5">
                  <c:v>3882.3620270000001</c:v>
                </c:pt>
                <c:pt idx="6">
                  <c:v>4244.6768890000003</c:v>
                </c:pt>
              </c:numCache>
            </c:numRef>
          </c:val>
          <c:extLst>
            <c:ext xmlns:c16="http://schemas.microsoft.com/office/drawing/2014/chart" uri="{C3380CC4-5D6E-409C-BE32-E72D297353CC}">
              <c16:uniqueId val="{00000001-A4B4-4BB4-BCF7-F7EDF633B3BE}"/>
            </c:ext>
          </c:extLst>
        </c:ser>
        <c:dLbls>
          <c:dLblPos val="outEnd"/>
          <c:showLegendKey val="0"/>
          <c:showVal val="1"/>
          <c:showCatName val="0"/>
          <c:showSerName val="0"/>
          <c:showPercent val="0"/>
          <c:showBubbleSize val="0"/>
        </c:dLbls>
        <c:gapWidth val="100"/>
        <c:axId val="660356048"/>
        <c:axId val="660358344"/>
      </c:barChart>
      <c:catAx>
        <c:axId val="6603560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58344"/>
        <c:crosses val="autoZero"/>
        <c:auto val="1"/>
        <c:lblAlgn val="ctr"/>
        <c:lblOffset val="100"/>
        <c:noMultiLvlLbl val="0"/>
      </c:catAx>
      <c:valAx>
        <c:axId val="660358344"/>
        <c:scaling>
          <c:orientation val="minMax"/>
        </c:scaling>
        <c:delete val="0"/>
        <c:axPos val="b"/>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56048"/>
        <c:crosses val="autoZero"/>
        <c:crossBetween val="between"/>
      </c:valAx>
      <c:spPr>
        <a:noFill/>
        <a:ln>
          <a:noFill/>
        </a:ln>
        <a:effectLst/>
      </c:spPr>
    </c:plotArea>
    <c:legend>
      <c:legendPos val="r"/>
      <c:layout>
        <c:manualLayout>
          <c:xMode val="edge"/>
          <c:yMode val="edge"/>
          <c:x val="0.87155524435033493"/>
          <c:y val="0.452608621053743"/>
          <c:w val="0.10316021046749234"/>
          <c:h val="9.4782757892513989E-2"/>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rot="0"/>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16202050051624"/>
          <c:y val="2.0709612423680187E-2"/>
          <c:w val="0.8651915211515594"/>
          <c:h val="0.88467485419291381"/>
        </c:manualLayout>
      </c:layout>
      <c:barChart>
        <c:barDir val="bar"/>
        <c:grouping val="clustered"/>
        <c:varyColors val="0"/>
        <c:ser>
          <c:idx val="0"/>
          <c:order val="0"/>
          <c:tx>
            <c:strRef>
              <c:f>'6.6.attēls _2024_PB'!$C$17</c:f>
              <c:strCache>
                <c:ptCount val="1"/>
                <c:pt idx="0">
                  <c:v>2023</c:v>
                </c:pt>
              </c:strCache>
            </c:strRef>
          </c:tx>
          <c:spPr>
            <a:solidFill>
              <a:srgbClr val="B9CDE5"/>
            </a:solidFill>
            <a:ln>
              <a:noFill/>
            </a:ln>
            <a:effectLst/>
          </c:spPr>
          <c:invertIfNegative val="0"/>
          <c:dLbls>
            <c:dLbl>
              <c:idx val="0"/>
              <c:layout>
                <c:manualLayout>
                  <c:x val="-2.9209426180822678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E55-4601-9663-B1CB79A77C1B}"/>
                </c:ext>
              </c:extLst>
            </c:dLbl>
            <c:dLbl>
              <c:idx val="1"/>
              <c:layout>
                <c:manualLayout>
                  <c:x val="-4.3814139271234551E-3"/>
                  <c:y val="-2.089347404676738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E55-4601-9663-B1CB79A77C1B}"/>
                </c:ext>
              </c:extLst>
            </c:dLbl>
            <c:dLbl>
              <c:idx val="4"/>
              <c:layout>
                <c:manualLayout>
                  <c:x val="-7.302356545205669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E55-4601-9663-B1CB79A77C1B}"/>
                </c:ext>
              </c:extLst>
            </c:dLbl>
            <c:dLbl>
              <c:idx val="5"/>
              <c:layout>
                <c:manualLayout>
                  <c:x val="-4.3814139271234013E-3"/>
                  <c:y val="-7.6608519849991316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E55-4601-9663-B1CB79A77C1B}"/>
                </c:ext>
              </c:extLst>
            </c:dLbl>
            <c:dLbl>
              <c:idx val="6"/>
              <c:layout>
                <c:manualLayout>
                  <c:x val="-4.3814139271234013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E55-4601-9663-B1CB79A77C1B}"/>
                </c:ext>
              </c:extLst>
            </c:dLbl>
            <c:dLbl>
              <c:idx val="7"/>
              <c:layout>
                <c:manualLayout>
                  <c:x val="-7.302356545205669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1E55-4601-9663-B1CB79A77C1B}"/>
                </c:ext>
              </c:extLst>
            </c:dLbl>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'6.6.attēls _2024_PB'!$B$18:$B$27</c:f>
              <c:strCache>
                <c:ptCount val="10"/>
                <c:pt idx="0">
                  <c:v>Teritoriju un mājokļu 
apsaimniekošana</c:v>
                </c:pt>
                <c:pt idx="1">
                  <c:v>Vides 
aizsardzība</c:v>
                </c:pt>
                <c:pt idx="2">
                  <c:v>Atpūta, kultūra 
un reliģija</c:v>
                </c:pt>
                <c:pt idx="3">
                  <c:v>Sociālā aizsardzība</c:v>
                </c:pt>
                <c:pt idx="4">
                  <c:v>Izglītība</c:v>
                </c:pt>
                <c:pt idx="5">
                  <c:v>Sabiedriskā 
kārtība un drošība</c:v>
                </c:pt>
                <c:pt idx="6">
                  <c:v>Aizsardzība</c:v>
                </c:pt>
                <c:pt idx="7">
                  <c:v>Vispārējie 
valdības dienesti</c:v>
                </c:pt>
                <c:pt idx="8">
                  <c:v>Veselība</c:v>
                </c:pt>
                <c:pt idx="9">
                  <c:v>Ekonomiskā 
darbība</c:v>
                </c:pt>
              </c:strCache>
            </c:strRef>
          </c:cat>
          <c:val>
            <c:numRef>
              <c:f>'6.6.attēls _2024_PB'!$C$18:$C$27</c:f>
              <c:numCache>
                <c:formatCode>_-* #\ ##0.0_-;\-* #\ ##0.0_-;_-* "-"_-;_-@_-</c:formatCode>
                <c:ptCount val="10"/>
                <c:pt idx="0">
                  <c:v>63.076951000000001</c:v>
                </c:pt>
                <c:pt idx="1">
                  <c:v>69.689599999999999</c:v>
                </c:pt>
                <c:pt idx="2">
                  <c:v>243.571764</c:v>
                </c:pt>
                <c:pt idx="3">
                  <c:v>1091.075225</c:v>
                </c:pt>
                <c:pt idx="4">
                  <c:v>1096.362523</c:v>
                </c:pt>
                <c:pt idx="5">
                  <c:v>922.49434599999995</c:v>
                </c:pt>
                <c:pt idx="6">
                  <c:v>1192.8400790000001</c:v>
                </c:pt>
                <c:pt idx="7">
                  <c:v>1801.375867</c:v>
                </c:pt>
                <c:pt idx="8">
                  <c:v>1748.9760470000001</c:v>
                </c:pt>
                <c:pt idx="9">
                  <c:v>2338.0221940000001</c:v>
                </c:pt>
              </c:numCache>
            </c:numRef>
          </c:val>
          <c:extLst>
            <c:ext xmlns:c16="http://schemas.microsoft.com/office/drawing/2014/chart" uri="{C3380CC4-5D6E-409C-BE32-E72D297353CC}">
              <c16:uniqueId val="{00000006-1E55-4601-9663-B1CB79A77C1B}"/>
            </c:ext>
          </c:extLst>
        </c:ser>
        <c:ser>
          <c:idx val="1"/>
          <c:order val="1"/>
          <c:tx>
            <c:strRef>
              <c:f>'6.6.attēls _2024_PB'!$D$17</c:f>
              <c:strCache>
                <c:ptCount val="1"/>
                <c:pt idx="0">
                  <c:v>2024</c:v>
                </c:pt>
              </c:strCache>
            </c:strRef>
          </c:tx>
          <c:spPr>
            <a:solidFill>
              <a:srgbClr val="558ED5"/>
            </a:solidFill>
            <a:ln>
              <a:noFill/>
            </a:ln>
            <a:effectLst/>
          </c:spPr>
          <c:invertIfNegative val="0"/>
          <c:dLbls>
            <c:dLbl>
              <c:idx val="1"/>
              <c:layout>
                <c:manualLayout>
                  <c:x val="5.8655747707835743E-3"/>
                  <c:y val="6.26804221403044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E55-4601-9663-B1CB79A77C1B}"/>
                </c:ext>
              </c:extLst>
            </c:dLbl>
            <c:dLbl>
              <c:idx val="2"/>
              <c:layout>
                <c:manualLayout>
                  <c:x val="4.3956043956043956E-3"/>
                  <c:y val="-1.685097699178208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E55-4601-9663-B1CB79A77C1B}"/>
                </c:ext>
              </c:extLst>
            </c:dLbl>
            <c:dLbl>
              <c:idx val="3"/>
              <c:layout>
                <c:manualLayout>
                  <c:x val="5.8418852361644281E-3"/>
                  <c:y val="2.089347404676815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E55-4601-9663-B1CB79A77C1B}"/>
                </c:ext>
              </c:extLst>
            </c:dLbl>
            <c:dLbl>
              <c:idx val="8"/>
              <c:layout>
                <c:manualLayout>
                  <c:x val="4.3814139271234013E-3"/>
                  <c:y val="-3.8304259924995658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E55-4601-9663-B1CB79A77C1B}"/>
                </c:ext>
              </c:extLst>
            </c:dLbl>
            <c:dLbl>
              <c:idx val="9"/>
              <c:layout>
                <c:manualLayout>
                  <c:x val="7.3023565452056162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1E55-4601-9663-B1CB79A77C1B}"/>
                </c:ext>
              </c:extLst>
            </c:dLbl>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'6.6.attēls _2024_PB'!$B$18:$B$27</c:f>
              <c:strCache>
                <c:ptCount val="10"/>
                <c:pt idx="0">
                  <c:v>Teritoriju un mājokļu 
apsaimniekošana</c:v>
                </c:pt>
                <c:pt idx="1">
                  <c:v>Vides 
aizsardzība</c:v>
                </c:pt>
                <c:pt idx="2">
                  <c:v>Atpūta, kultūra 
un reliģija</c:v>
                </c:pt>
                <c:pt idx="3">
                  <c:v>Sociālā aizsardzība</c:v>
                </c:pt>
                <c:pt idx="4">
                  <c:v>Izglītība</c:v>
                </c:pt>
                <c:pt idx="5">
                  <c:v>Sabiedriskā 
kārtība un drošība</c:v>
                </c:pt>
                <c:pt idx="6">
                  <c:v>Aizsardzība</c:v>
                </c:pt>
                <c:pt idx="7">
                  <c:v>Vispārējie 
valdības dienesti</c:v>
                </c:pt>
                <c:pt idx="8">
                  <c:v>Veselība</c:v>
                </c:pt>
                <c:pt idx="9">
                  <c:v>Ekonomiskā 
darbība</c:v>
                </c:pt>
              </c:strCache>
            </c:strRef>
          </c:cat>
          <c:val>
            <c:numRef>
              <c:f>'6.6.attēls _2024_PB'!$D$18:$D$27</c:f>
              <c:numCache>
                <c:formatCode>_-* #\ ##0.0_-;\-* #\ ##0.0_-;_-* "-"_-;_-@_-</c:formatCode>
                <c:ptCount val="10"/>
                <c:pt idx="0">
                  <c:v>46.344433000000002</c:v>
                </c:pt>
                <c:pt idx="1">
                  <c:v>58.600375</c:v>
                </c:pt>
                <c:pt idx="2">
                  <c:v>266.039556</c:v>
                </c:pt>
                <c:pt idx="3">
                  <c:v>1134.9252200000001</c:v>
                </c:pt>
                <c:pt idx="4">
                  <c:v>1229.3174349999999</c:v>
                </c:pt>
                <c:pt idx="5">
                  <c:v>1251.287634</c:v>
                </c:pt>
                <c:pt idx="6">
                  <c:v>1360.561772</c:v>
                </c:pt>
                <c:pt idx="7">
                  <c:v>1811.0245709999999</c:v>
                </c:pt>
                <c:pt idx="8">
                  <c:v>1873.293561</c:v>
                </c:pt>
                <c:pt idx="9">
                  <c:v>2049.3826989999998</c:v>
                </c:pt>
              </c:numCache>
            </c:numRef>
          </c:val>
          <c:extLst>
            <c:ext xmlns:c16="http://schemas.microsoft.com/office/drawing/2014/chart" uri="{C3380CC4-5D6E-409C-BE32-E72D297353CC}">
              <c16:uniqueId val="{0000000C-1E55-4601-9663-B1CB79A77C1B}"/>
            </c:ext>
          </c:extLst>
        </c:ser>
        <c:dLbls>
          <c:dLblPos val="outEnd"/>
          <c:showLegendKey val="0"/>
          <c:showVal val="1"/>
          <c:showCatName val="0"/>
          <c:showSerName val="0"/>
          <c:showPercent val="0"/>
          <c:showBubbleSize val="0"/>
        </c:dLbls>
        <c:gapWidth val="80"/>
        <c:axId val="1108899824"/>
        <c:axId val="1370921648"/>
      </c:barChart>
      <c:catAx>
        <c:axId val="1108899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370921648"/>
        <c:crosses val="autoZero"/>
        <c:auto val="1"/>
        <c:lblAlgn val="ctr"/>
        <c:lblOffset val="100"/>
        <c:noMultiLvlLbl val="0"/>
      </c:catAx>
      <c:valAx>
        <c:axId val="1370921648"/>
        <c:scaling>
          <c:orientation val="minMax"/>
        </c:scaling>
        <c:delete val="0"/>
        <c:axPos val="b"/>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108899824"/>
        <c:crosses val="autoZero"/>
        <c:crossBetween val="between"/>
      </c:valAx>
      <c:spPr>
        <a:noFill/>
        <a:ln>
          <a:noFill/>
        </a:ln>
        <a:effectLst/>
      </c:spPr>
    </c:plotArea>
    <c:legend>
      <c:legendPos val="r"/>
      <c:layout>
        <c:manualLayout>
          <c:xMode val="edge"/>
          <c:yMode val="edge"/>
          <c:x val="0.88112569136037922"/>
          <c:y val="0.45722598782565188"/>
          <c:w val="7.7784343241696849E-2"/>
          <c:h val="8.5548024348696197E-2"/>
        </c:manualLayout>
      </c:layout>
      <c:overlay val="0"/>
      <c:spPr>
        <a:solidFill>
          <a:schemeClr val="bg1"/>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 id="14">
  <a:schemeClr val="accent1"/>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010E9-18A0-4CB6-805B-9C4BE6E9122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3441B90-6B95-46F5-8758-F368860A3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E47BB9-378F-421F-A791-0B2334EACD48}">
  <ds:schemaRefs>
    <ds:schemaRef ds:uri="http://schemas.microsoft.com/sharepoint/v3/contenttype/forms"/>
  </ds:schemaRefs>
</ds:datastoreItem>
</file>

<file path=customXml/itemProps4.xml><?xml version="1.0" encoding="utf-8"?>
<ds:datastoreItem xmlns:ds="http://schemas.openxmlformats.org/officeDocument/2006/customXml" ds:itemID="{D1C59D57-A25F-4E31-9C3C-234B3282A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35154</Words>
  <Characters>20038</Characters>
  <Application>Microsoft Office Word</Application>
  <DocSecurity>2</DocSecurity>
  <Lines>166</Lines>
  <Paragraphs>110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 gada pārskats</vt:lpstr>
      <vt:lpstr>Latvijas Republikas 2022. gada pārskats par valsts budžeta izpildi un par pašvaldību budžetiem</vt:lpstr>
    </vt:vector>
  </TitlesOfParts>
  <Company>Valsts kase</Company>
  <LinksUpToDate>false</LinksUpToDate>
  <CharactersWithSpaces>55082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 gada pārskats</dc:title>
  <dc:subject>Skaidrojums</dc:subject>
  <dc:creator>Atbildīgā amatpersona: Rūdolfs Vikmanis, 67094376, Rudolfs.Vikmanis@kase.gov.lv</dc:creator>
  <cp:lastModifiedBy>Ēriks Tamanis</cp:lastModifiedBy>
  <cp:revision>2</cp:revision>
  <cp:lastPrinted>2025-05-20T06:04:00Z</cp:lastPrinted>
  <dcterms:created xsi:type="dcterms:W3CDTF">2025-05-27T08:58:00Z</dcterms:created>
  <dcterms:modified xsi:type="dcterms:W3CDTF">2025-05-27T08:58:00Z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