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1C71" w14:textId="77777777" w:rsidR="00B94727" w:rsidRDefault="00B94727">
      <w:pPr>
        <w:rPr>
          <w:rFonts w:ascii="Verdana" w:hAnsi="Verdana"/>
          <w:color w:val="222222"/>
          <w:sz w:val="21"/>
          <w:szCs w:val="21"/>
        </w:rPr>
      </w:pPr>
    </w:p>
    <w:p w14:paraId="26C52003" w14:textId="03D0C101" w:rsidR="00B94727" w:rsidRDefault="00B94727">
      <w:pPr>
        <w:rPr>
          <w:rFonts w:ascii="Verdana" w:hAnsi="Verdana"/>
          <w:color w:val="222222"/>
          <w:sz w:val="21"/>
          <w:szCs w:val="21"/>
        </w:rPr>
      </w:pPr>
      <w:r w:rsidRPr="00B94727">
        <w:rPr>
          <w:rFonts w:ascii="Verdana" w:hAnsi="Verdana"/>
          <w:color w:val="222222"/>
          <w:sz w:val="21"/>
          <w:szCs w:val="21"/>
        </w:rPr>
        <w:t>09.10.2012.</w:t>
      </w:r>
      <w:r w:rsidRPr="00B94727">
        <w:rPr>
          <w:rFonts w:ascii="Verdana" w:hAnsi="Verdana"/>
          <w:color w:val="222222"/>
          <w:sz w:val="21"/>
          <w:szCs w:val="21"/>
        </w:rPr>
        <w:t xml:space="preserve"> </w:t>
      </w:r>
      <w:r>
        <w:rPr>
          <w:rFonts w:ascii="Verdana" w:hAnsi="Verdana"/>
          <w:color w:val="222222"/>
          <w:sz w:val="21"/>
          <w:szCs w:val="21"/>
        </w:rPr>
        <w:t xml:space="preserve"> Ministru kabineta  noteikumi Nr.695 </w:t>
      </w:r>
      <w:r w:rsidRPr="00B94727">
        <w:rPr>
          <w:rFonts w:ascii="Verdana" w:hAnsi="Verdana"/>
          <w:color w:val="222222"/>
          <w:sz w:val="21"/>
          <w:szCs w:val="21"/>
        </w:rPr>
        <w:t>Kārtība, kādā piešķir un finansē asistenta pakalpojumu izglītības iestādē</w:t>
      </w:r>
      <w:r>
        <w:rPr>
          <w:rFonts w:ascii="Verdana" w:hAnsi="Verdana"/>
          <w:color w:val="222222"/>
          <w:sz w:val="21"/>
          <w:szCs w:val="21"/>
        </w:rPr>
        <w:t xml:space="preserve"> </w:t>
      </w:r>
      <w:hyperlink r:id="rId5" w:history="1">
        <w:r w:rsidRPr="00747465">
          <w:rPr>
            <w:rStyle w:val="Hipersaite"/>
            <w:rFonts w:ascii="Verdana" w:hAnsi="Verdana"/>
            <w:sz w:val="21"/>
            <w:szCs w:val="21"/>
          </w:rPr>
          <w:t>https://likumi.lv/ta/id/252140-kartiba-kada-pieskir-un-finanse-asistenta-pakalpojumu-izglitibas-iestade</w:t>
        </w:r>
      </w:hyperlink>
    </w:p>
    <w:p w14:paraId="00F1217A" w14:textId="6C6CD8C6" w:rsidR="00B94727" w:rsidRDefault="00B94727">
      <w:pPr>
        <w:rPr>
          <w:rFonts w:ascii="Verdana" w:hAnsi="Verdana"/>
          <w:color w:val="222222"/>
          <w:sz w:val="21"/>
          <w:szCs w:val="21"/>
        </w:rPr>
      </w:pPr>
      <w:r w:rsidRPr="00B94727">
        <w:rPr>
          <w:rFonts w:ascii="Verdana" w:hAnsi="Verdana"/>
          <w:color w:val="222222"/>
          <w:sz w:val="21"/>
          <w:szCs w:val="21"/>
        </w:rPr>
        <w:t>13. Pašvaldības, valsts dibinātās izglītības iestādes un privātās izglītības iestādes pārskatu par piešķirto valsts budžeta līdzekļu izlietojumu asistenta pakalpojuma nodrošināšanai (turpmāk – pārskats) (</w:t>
      </w:r>
      <w:hyperlink r:id="rId6" w:anchor="piel2" w:history="1">
        <w:r w:rsidRPr="00B94727">
          <w:rPr>
            <w:rStyle w:val="Hipersaite"/>
            <w:rFonts w:ascii="Verdana" w:hAnsi="Verdana"/>
            <w:sz w:val="21"/>
            <w:szCs w:val="21"/>
          </w:rPr>
          <w:t>2.</w:t>
        </w:r>
      </w:hyperlink>
      <w:r w:rsidRPr="00B94727">
        <w:rPr>
          <w:rFonts w:ascii="Verdana" w:hAnsi="Verdana"/>
          <w:color w:val="222222"/>
          <w:sz w:val="21"/>
          <w:szCs w:val="21"/>
        </w:rPr>
        <w:t> pielikums) iesniedz šādā kārtībā:</w:t>
      </w:r>
      <w:r w:rsidRPr="00B94727">
        <w:rPr>
          <w:rFonts w:ascii="Verdana" w:hAnsi="Verdana"/>
          <w:color w:val="222222"/>
          <w:sz w:val="21"/>
          <w:szCs w:val="21"/>
        </w:rPr>
        <w:t xml:space="preserve"> </w:t>
      </w:r>
    </w:p>
    <w:p w14:paraId="6164A5F9" w14:textId="77777777" w:rsidR="00B94727" w:rsidRPr="00B94727" w:rsidRDefault="00B94727" w:rsidP="00B94727">
      <w:pPr>
        <w:pStyle w:val="Sarakstarindkopa"/>
        <w:numPr>
          <w:ilvl w:val="0"/>
          <w:numId w:val="2"/>
        </w:numPr>
      </w:pPr>
      <w:r w:rsidRPr="00B94727">
        <w:rPr>
          <w:rFonts w:ascii="Verdana" w:hAnsi="Verdana"/>
          <w:color w:val="222222"/>
          <w:sz w:val="21"/>
          <w:szCs w:val="21"/>
        </w:rPr>
        <w:t>līdz attiecīgā gada 10.janvārim – par iepriekšējā gada periodu no 1.septembra līdz 31.decembrim;</w:t>
      </w:r>
    </w:p>
    <w:p w14:paraId="6BB79406" w14:textId="77777777" w:rsidR="00B94727" w:rsidRPr="00B94727" w:rsidRDefault="00B94727" w:rsidP="00B94727">
      <w:pPr>
        <w:pStyle w:val="Sarakstarindkopa"/>
        <w:numPr>
          <w:ilvl w:val="0"/>
          <w:numId w:val="2"/>
        </w:numPr>
      </w:pPr>
      <w:r w:rsidRPr="00B94727">
        <w:rPr>
          <w:rFonts w:ascii="Verdana" w:hAnsi="Verdana"/>
          <w:color w:val="222222"/>
          <w:sz w:val="21"/>
          <w:szCs w:val="21"/>
        </w:rPr>
        <w:t>līdz attiecīgā gada 10.aprīlim – par kārtējā gada periodu no 1.janvāra līdz 31.martam;</w:t>
      </w:r>
    </w:p>
    <w:p w14:paraId="614E165E" w14:textId="77777777" w:rsidR="00B94727" w:rsidRPr="00B94727" w:rsidRDefault="00B94727" w:rsidP="00B94727">
      <w:pPr>
        <w:pStyle w:val="Sarakstarindkopa"/>
        <w:numPr>
          <w:ilvl w:val="0"/>
          <w:numId w:val="2"/>
        </w:numPr>
      </w:pPr>
      <w:r w:rsidRPr="00B94727">
        <w:rPr>
          <w:rFonts w:ascii="Verdana" w:hAnsi="Verdana"/>
          <w:color w:val="222222"/>
          <w:sz w:val="21"/>
          <w:szCs w:val="21"/>
        </w:rPr>
        <w:t>līdz attiecīgā gada 10.jūlijam – par kārtējā gada periodu no 1.aprīļa līdz 30.jūnijam;</w:t>
      </w:r>
    </w:p>
    <w:p w14:paraId="44497F97" w14:textId="0BBCFE1A" w:rsidR="00A9434D" w:rsidRDefault="00B94727" w:rsidP="00B94727">
      <w:pPr>
        <w:pStyle w:val="Sarakstarindkopa"/>
        <w:numPr>
          <w:ilvl w:val="0"/>
          <w:numId w:val="2"/>
        </w:numPr>
      </w:pPr>
      <w:r w:rsidRPr="00B94727">
        <w:rPr>
          <w:rFonts w:ascii="Verdana" w:hAnsi="Verdana"/>
          <w:color w:val="222222"/>
          <w:sz w:val="21"/>
          <w:szCs w:val="21"/>
        </w:rPr>
        <w:t>līdz attiecīgā gada 10.septembrim – par kārtējā gada periodu no 1.jūlija līdz 31.augustam.</w:t>
      </w:r>
      <w:r w:rsidRPr="00B94727">
        <w:rPr>
          <w:rFonts w:ascii="Verdana" w:hAnsi="Verdana"/>
          <w:color w:val="222222"/>
          <w:sz w:val="21"/>
          <w:szCs w:val="21"/>
        </w:rPr>
        <w:br/>
      </w:r>
    </w:p>
    <w:sectPr w:rsidR="00A943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D4FC5"/>
    <w:multiLevelType w:val="hybridMultilevel"/>
    <w:tmpl w:val="17A476A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D401D"/>
    <w:multiLevelType w:val="hybridMultilevel"/>
    <w:tmpl w:val="AC4EAD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906">
    <w:abstractNumId w:val="1"/>
  </w:num>
  <w:num w:numId="2" w16cid:durableId="172020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27"/>
    <w:rsid w:val="007305BB"/>
    <w:rsid w:val="00A9434D"/>
    <w:rsid w:val="00B94727"/>
    <w:rsid w:val="00C5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C303E"/>
  <w15:chartTrackingRefBased/>
  <w15:docId w15:val="{FD5B4FC4-E26B-4E38-8778-EAF4B79E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94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4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94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94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94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94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94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94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94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94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4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94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9472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9472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9472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9472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9472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9472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94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94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94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94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94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9472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9472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9472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94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9472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94727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B9472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9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252140" TargetMode="External"/><Relationship Id="rId5" Type="http://schemas.openxmlformats.org/officeDocument/2006/relationships/hyperlink" Target="https://likumi.lv/ta/id/252140-kartiba-kada-pieskir-un-finanse-asistenta-pakalpojumu-izglitibas-iest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Kļaviņa</dc:creator>
  <cp:keywords/>
  <dc:description/>
  <cp:lastModifiedBy>Daiga Kļaviņa</cp:lastModifiedBy>
  <cp:revision>1</cp:revision>
  <dcterms:created xsi:type="dcterms:W3CDTF">2026-04-24T11:40:00Z</dcterms:created>
  <dcterms:modified xsi:type="dcterms:W3CDTF">2026-04-24T11:47:00Z</dcterms:modified>
</cp:coreProperties>
</file>